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BFE" w:rsidRPr="00D01664" w:rsidRDefault="00607BFE" w:rsidP="00607BFE">
      <w:pPr>
        <w:tabs>
          <w:tab w:val="left" w:pos="3060"/>
          <w:tab w:val="center" w:pos="4680"/>
        </w:tabs>
        <w:suppressAutoHyphens/>
        <w:spacing w:line="240" w:lineRule="atLeast"/>
        <w:jc w:val="center"/>
        <w:rPr>
          <w:sz w:val="28"/>
          <w:szCs w:val="28"/>
        </w:rPr>
      </w:pPr>
      <w:bookmarkStart w:id="0" w:name="_GoBack"/>
      <w:bookmarkStart w:id="1" w:name="_Toc244505141"/>
      <w:bookmarkEnd w:id="0"/>
      <w:r w:rsidRPr="00D01664">
        <w:rPr>
          <w:sz w:val="28"/>
          <w:szCs w:val="28"/>
        </w:rPr>
        <w:t xml:space="preserve">No. </w:t>
      </w:r>
      <w:r>
        <w:rPr>
          <w:sz w:val="28"/>
          <w:szCs w:val="28"/>
        </w:rPr>
        <w:t>11-1105</w:t>
      </w:r>
    </w:p>
    <w:p w:rsidR="00607BFE" w:rsidRPr="00D01664" w:rsidRDefault="00607BFE" w:rsidP="00607BFE">
      <w:pPr>
        <w:tabs>
          <w:tab w:val="left" w:pos="3060"/>
          <w:tab w:val="center" w:pos="4680"/>
        </w:tabs>
        <w:suppressAutoHyphens/>
        <w:spacing w:line="240" w:lineRule="atLeast"/>
        <w:jc w:val="center"/>
        <w:rPr>
          <w:sz w:val="28"/>
          <w:szCs w:val="28"/>
        </w:rPr>
      </w:pPr>
    </w:p>
    <w:p w:rsidR="00607BFE" w:rsidRPr="00D01664" w:rsidRDefault="00F0018F" w:rsidP="00607BFE">
      <w:pPr>
        <w:tabs>
          <w:tab w:val="left" w:pos="3060"/>
          <w:tab w:val="center" w:pos="4680"/>
        </w:tabs>
        <w:suppressAutoHyphens/>
        <w:spacing w:line="240" w:lineRule="atLeast"/>
        <w:jc w:val="center"/>
        <w:rPr>
          <w:sz w:val="28"/>
          <w:szCs w:val="28"/>
        </w:rPr>
      </w:pPr>
      <w:r w:rsidRPr="00F0018F">
        <w:rPr>
          <w:noProof/>
        </w:rPr>
        <w:pict>
          <v:line id="_x0000_s1026" style="position:absolute;left:0;text-align:left;z-index:251660288" from="13.05pt,-.4pt" to="445.05pt,-.4pt" strokeweight="4.5pt">
            <v:stroke linestyle="thickThin"/>
          </v:line>
        </w:pict>
      </w:r>
    </w:p>
    <w:p w:rsidR="00607BFE" w:rsidRPr="00727109" w:rsidRDefault="00607BFE" w:rsidP="00607BFE">
      <w:pPr>
        <w:tabs>
          <w:tab w:val="left" w:pos="3060"/>
          <w:tab w:val="center" w:pos="4680"/>
        </w:tabs>
        <w:suppressAutoHyphens/>
        <w:spacing w:line="240" w:lineRule="atLeast"/>
        <w:jc w:val="center"/>
        <w:rPr>
          <w:sz w:val="26"/>
          <w:szCs w:val="36"/>
        </w:rPr>
      </w:pPr>
      <w:r w:rsidRPr="00727109">
        <w:rPr>
          <w:sz w:val="26"/>
          <w:szCs w:val="36"/>
        </w:rPr>
        <w:t>IN THE</w:t>
      </w:r>
    </w:p>
    <w:p w:rsidR="00607BFE" w:rsidRPr="00727109" w:rsidRDefault="00607BFE" w:rsidP="00607BFE">
      <w:pPr>
        <w:tabs>
          <w:tab w:val="left" w:pos="3060"/>
          <w:tab w:val="center" w:pos="4680"/>
        </w:tabs>
        <w:suppressAutoHyphens/>
        <w:spacing w:line="240" w:lineRule="atLeast"/>
        <w:jc w:val="center"/>
        <w:rPr>
          <w:sz w:val="26"/>
          <w:szCs w:val="36"/>
        </w:rPr>
      </w:pPr>
      <w:r w:rsidRPr="00727109">
        <w:rPr>
          <w:sz w:val="26"/>
          <w:szCs w:val="36"/>
        </w:rPr>
        <w:t xml:space="preserve">UNITED STATES BANKRUPTCY APPELLATE PANEL </w:t>
      </w:r>
    </w:p>
    <w:p w:rsidR="00607BFE" w:rsidRPr="00727109" w:rsidRDefault="00607BFE" w:rsidP="00607BFE">
      <w:pPr>
        <w:tabs>
          <w:tab w:val="left" w:pos="3060"/>
          <w:tab w:val="center" w:pos="4680"/>
        </w:tabs>
        <w:suppressAutoHyphens/>
        <w:spacing w:line="240" w:lineRule="atLeast"/>
        <w:jc w:val="center"/>
        <w:rPr>
          <w:sz w:val="26"/>
          <w:szCs w:val="28"/>
        </w:rPr>
      </w:pPr>
      <w:r w:rsidRPr="00727109">
        <w:rPr>
          <w:sz w:val="26"/>
          <w:szCs w:val="36"/>
        </w:rPr>
        <w:t>FOR THE NINTH CIRCUIT COURT OF APPEALS</w:t>
      </w:r>
    </w:p>
    <w:p w:rsidR="00607BFE" w:rsidRPr="00727109" w:rsidRDefault="00607BFE" w:rsidP="00607BFE">
      <w:pPr>
        <w:tabs>
          <w:tab w:val="left" w:pos="-720"/>
          <w:tab w:val="left" w:pos="3060"/>
        </w:tabs>
        <w:suppressAutoHyphens/>
        <w:spacing w:line="240" w:lineRule="atLeast"/>
        <w:jc w:val="center"/>
        <w:rPr>
          <w:sz w:val="26"/>
          <w:szCs w:val="28"/>
        </w:rPr>
      </w:pPr>
      <w:r w:rsidRPr="00727109">
        <w:rPr>
          <w:b/>
          <w:sz w:val="26"/>
          <w:szCs w:val="28"/>
        </w:rPr>
        <w:t>___________________________</w:t>
      </w:r>
    </w:p>
    <w:p w:rsidR="00607BFE" w:rsidRPr="00727109" w:rsidRDefault="00607BFE" w:rsidP="00607BFE">
      <w:pPr>
        <w:tabs>
          <w:tab w:val="left" w:pos="-720"/>
          <w:tab w:val="left" w:pos="3060"/>
        </w:tabs>
        <w:suppressAutoHyphens/>
        <w:spacing w:line="240" w:lineRule="atLeast"/>
        <w:rPr>
          <w:sz w:val="26"/>
          <w:szCs w:val="28"/>
        </w:rPr>
      </w:pPr>
    </w:p>
    <w:p w:rsidR="00607BFE" w:rsidRPr="00727109" w:rsidRDefault="00607BFE" w:rsidP="00607BFE">
      <w:pPr>
        <w:tabs>
          <w:tab w:val="left" w:pos="3060"/>
          <w:tab w:val="center" w:pos="4680"/>
        </w:tabs>
        <w:suppressAutoHyphens/>
        <w:spacing w:line="240" w:lineRule="atLeast"/>
        <w:jc w:val="center"/>
        <w:rPr>
          <w:sz w:val="26"/>
          <w:szCs w:val="28"/>
        </w:rPr>
      </w:pPr>
      <w:r w:rsidRPr="00727109">
        <w:rPr>
          <w:sz w:val="26"/>
          <w:szCs w:val="28"/>
        </w:rPr>
        <w:t xml:space="preserve">In re </w:t>
      </w:r>
      <w:r>
        <w:rPr>
          <w:smallCaps/>
          <w:sz w:val="26"/>
          <w:szCs w:val="28"/>
        </w:rPr>
        <w:t>Gregory A. Friedman and Judith Mercer-Friedman</w:t>
      </w:r>
      <w:r w:rsidRPr="00727109">
        <w:rPr>
          <w:sz w:val="26"/>
          <w:szCs w:val="28"/>
        </w:rPr>
        <w:t>,</w:t>
      </w:r>
    </w:p>
    <w:p w:rsidR="00607BFE" w:rsidRPr="00727109" w:rsidRDefault="00607BFE" w:rsidP="00607BFE">
      <w:pPr>
        <w:tabs>
          <w:tab w:val="left" w:pos="3060"/>
          <w:tab w:val="center" w:pos="4680"/>
        </w:tabs>
        <w:suppressAutoHyphens/>
        <w:spacing w:line="240" w:lineRule="atLeast"/>
        <w:jc w:val="center"/>
        <w:rPr>
          <w:i/>
          <w:sz w:val="26"/>
          <w:szCs w:val="28"/>
        </w:rPr>
      </w:pPr>
      <w:proofErr w:type="gramStart"/>
      <w:r w:rsidRPr="00727109">
        <w:rPr>
          <w:i/>
          <w:sz w:val="26"/>
          <w:szCs w:val="28"/>
        </w:rPr>
        <w:t>Debtors.</w:t>
      </w:r>
      <w:proofErr w:type="gramEnd"/>
    </w:p>
    <w:p w:rsidR="00607BFE" w:rsidRPr="00727109" w:rsidRDefault="00607BFE" w:rsidP="00607BFE">
      <w:pPr>
        <w:tabs>
          <w:tab w:val="left" w:pos="-720"/>
          <w:tab w:val="left" w:pos="3060"/>
        </w:tabs>
        <w:suppressAutoHyphens/>
        <w:spacing w:line="240" w:lineRule="atLeast"/>
        <w:jc w:val="center"/>
        <w:rPr>
          <w:sz w:val="26"/>
          <w:szCs w:val="28"/>
        </w:rPr>
      </w:pPr>
      <w:r w:rsidRPr="00727109">
        <w:rPr>
          <w:sz w:val="26"/>
          <w:szCs w:val="28"/>
        </w:rPr>
        <w:t>_______________________</w:t>
      </w:r>
    </w:p>
    <w:p w:rsidR="00607BFE" w:rsidRPr="00727109" w:rsidRDefault="00607BFE" w:rsidP="00607BFE">
      <w:pPr>
        <w:tabs>
          <w:tab w:val="left" w:pos="3060"/>
          <w:tab w:val="center" w:pos="4680"/>
        </w:tabs>
        <w:suppressAutoHyphens/>
        <w:spacing w:line="240" w:lineRule="atLeast"/>
        <w:jc w:val="center"/>
        <w:rPr>
          <w:sz w:val="26"/>
          <w:szCs w:val="28"/>
        </w:rPr>
      </w:pPr>
    </w:p>
    <w:p w:rsidR="00607BFE" w:rsidRPr="00727109" w:rsidRDefault="00607BFE" w:rsidP="00607BFE">
      <w:pPr>
        <w:tabs>
          <w:tab w:val="left" w:pos="3060"/>
          <w:tab w:val="center" w:pos="4680"/>
        </w:tabs>
        <w:suppressAutoHyphens/>
        <w:spacing w:line="240" w:lineRule="atLeast"/>
        <w:jc w:val="center"/>
        <w:rPr>
          <w:sz w:val="26"/>
          <w:szCs w:val="28"/>
        </w:rPr>
      </w:pPr>
      <w:r>
        <w:rPr>
          <w:sz w:val="26"/>
          <w:szCs w:val="28"/>
        </w:rPr>
        <w:t>GREGORY A. FRIEDMAN AND JUDITH MERCER-FRIEDMAN</w:t>
      </w:r>
      <w:r w:rsidRPr="00727109">
        <w:rPr>
          <w:sz w:val="26"/>
          <w:szCs w:val="28"/>
        </w:rPr>
        <w:t xml:space="preserve">, </w:t>
      </w:r>
    </w:p>
    <w:p w:rsidR="00607BFE" w:rsidRPr="00727109" w:rsidRDefault="00607BFE" w:rsidP="00607BFE">
      <w:pPr>
        <w:tabs>
          <w:tab w:val="left" w:pos="3060"/>
          <w:tab w:val="center" w:pos="4680"/>
        </w:tabs>
        <w:suppressAutoHyphens/>
        <w:spacing w:line="240" w:lineRule="atLeast"/>
        <w:jc w:val="center"/>
        <w:rPr>
          <w:i/>
          <w:sz w:val="26"/>
          <w:szCs w:val="28"/>
        </w:rPr>
      </w:pPr>
      <w:r w:rsidRPr="00727109">
        <w:rPr>
          <w:i/>
          <w:sz w:val="26"/>
          <w:szCs w:val="28"/>
        </w:rPr>
        <w:t>Appellant</w:t>
      </w:r>
      <w:r>
        <w:rPr>
          <w:i/>
          <w:sz w:val="26"/>
          <w:szCs w:val="28"/>
        </w:rPr>
        <w:t>s</w:t>
      </w:r>
    </w:p>
    <w:p w:rsidR="00607BFE" w:rsidRPr="00727109" w:rsidRDefault="00607BFE" w:rsidP="00607BFE">
      <w:pPr>
        <w:tabs>
          <w:tab w:val="left" w:pos="3060"/>
          <w:tab w:val="center" w:pos="4680"/>
        </w:tabs>
        <w:suppressAutoHyphens/>
        <w:spacing w:line="240" w:lineRule="atLeast"/>
        <w:jc w:val="center"/>
        <w:rPr>
          <w:sz w:val="26"/>
          <w:szCs w:val="28"/>
        </w:rPr>
      </w:pPr>
      <w:r w:rsidRPr="00727109">
        <w:rPr>
          <w:sz w:val="26"/>
          <w:szCs w:val="28"/>
        </w:rPr>
        <w:sym w:font="Symbol" w:char="F0BE"/>
      </w:r>
      <w:r w:rsidRPr="00727109">
        <w:rPr>
          <w:sz w:val="26"/>
          <w:szCs w:val="28"/>
        </w:rPr>
        <w:t xml:space="preserve"> </w:t>
      </w:r>
      <w:proofErr w:type="gramStart"/>
      <w:r w:rsidRPr="00727109">
        <w:rPr>
          <w:sz w:val="26"/>
          <w:szCs w:val="28"/>
        </w:rPr>
        <w:t>v</w:t>
      </w:r>
      <w:proofErr w:type="gramEnd"/>
      <w:r w:rsidRPr="00727109">
        <w:rPr>
          <w:sz w:val="26"/>
          <w:szCs w:val="28"/>
        </w:rPr>
        <w:t xml:space="preserve">. </w:t>
      </w:r>
      <w:r w:rsidRPr="00727109">
        <w:rPr>
          <w:sz w:val="26"/>
          <w:szCs w:val="28"/>
        </w:rPr>
        <w:sym w:font="Symbol" w:char="F0BE"/>
      </w:r>
    </w:p>
    <w:p w:rsidR="00607BFE" w:rsidRPr="00727109" w:rsidRDefault="00607BFE" w:rsidP="00607BFE">
      <w:pPr>
        <w:tabs>
          <w:tab w:val="left" w:pos="3060"/>
          <w:tab w:val="center" w:pos="4680"/>
        </w:tabs>
        <w:suppressAutoHyphens/>
        <w:spacing w:line="240" w:lineRule="atLeast"/>
        <w:jc w:val="center"/>
        <w:rPr>
          <w:sz w:val="26"/>
          <w:szCs w:val="28"/>
        </w:rPr>
      </w:pPr>
    </w:p>
    <w:p w:rsidR="00607BFE" w:rsidRDefault="00607BFE" w:rsidP="00607BFE">
      <w:pPr>
        <w:tabs>
          <w:tab w:val="left" w:pos="3060"/>
          <w:tab w:val="center" w:pos="4680"/>
        </w:tabs>
        <w:suppressAutoHyphens/>
        <w:spacing w:line="240" w:lineRule="atLeast"/>
        <w:jc w:val="center"/>
        <w:rPr>
          <w:sz w:val="26"/>
          <w:szCs w:val="28"/>
        </w:rPr>
      </w:pPr>
      <w:r>
        <w:rPr>
          <w:sz w:val="26"/>
          <w:szCs w:val="28"/>
        </w:rPr>
        <w:t xml:space="preserve">UNITED STATES INTERNAL REVENUE SERVICE, </w:t>
      </w:r>
    </w:p>
    <w:p w:rsidR="00607BFE" w:rsidRDefault="00607BFE" w:rsidP="00607BFE">
      <w:pPr>
        <w:tabs>
          <w:tab w:val="left" w:pos="3060"/>
          <w:tab w:val="center" w:pos="4680"/>
        </w:tabs>
        <w:suppressAutoHyphens/>
        <w:spacing w:line="240" w:lineRule="atLeast"/>
        <w:jc w:val="center"/>
        <w:rPr>
          <w:sz w:val="26"/>
          <w:szCs w:val="28"/>
        </w:rPr>
      </w:pPr>
      <w:proofErr w:type="gramStart"/>
      <w:r>
        <w:rPr>
          <w:sz w:val="26"/>
          <w:szCs w:val="28"/>
        </w:rPr>
        <w:t>and</w:t>
      </w:r>
      <w:proofErr w:type="gramEnd"/>
    </w:p>
    <w:p w:rsidR="00607BFE" w:rsidRPr="00727109" w:rsidRDefault="00607BFE" w:rsidP="00607BFE">
      <w:pPr>
        <w:tabs>
          <w:tab w:val="left" w:pos="3060"/>
          <w:tab w:val="center" w:pos="4680"/>
        </w:tabs>
        <w:suppressAutoHyphens/>
        <w:spacing w:line="240" w:lineRule="atLeast"/>
        <w:jc w:val="center"/>
        <w:rPr>
          <w:sz w:val="26"/>
          <w:szCs w:val="28"/>
        </w:rPr>
      </w:pPr>
      <w:r>
        <w:rPr>
          <w:sz w:val="26"/>
          <w:szCs w:val="28"/>
        </w:rPr>
        <w:t>P+P, L.L.C.</w:t>
      </w:r>
      <w:r w:rsidRPr="00727109">
        <w:rPr>
          <w:sz w:val="26"/>
          <w:szCs w:val="28"/>
        </w:rPr>
        <w:t>,</w:t>
      </w:r>
    </w:p>
    <w:p w:rsidR="00607BFE" w:rsidRPr="00727109" w:rsidRDefault="00607BFE" w:rsidP="00607BFE">
      <w:pPr>
        <w:tabs>
          <w:tab w:val="left" w:pos="3060"/>
          <w:tab w:val="center" w:pos="4680"/>
        </w:tabs>
        <w:suppressAutoHyphens/>
        <w:spacing w:line="240" w:lineRule="atLeast"/>
        <w:jc w:val="center"/>
        <w:rPr>
          <w:i/>
          <w:sz w:val="26"/>
          <w:szCs w:val="28"/>
        </w:rPr>
      </w:pPr>
      <w:proofErr w:type="spellStart"/>
      <w:r w:rsidRPr="00727109">
        <w:rPr>
          <w:i/>
          <w:sz w:val="26"/>
          <w:szCs w:val="28"/>
        </w:rPr>
        <w:t>Appellees</w:t>
      </w:r>
      <w:proofErr w:type="spellEnd"/>
    </w:p>
    <w:p w:rsidR="00607BFE" w:rsidRPr="00727109" w:rsidRDefault="00607BFE" w:rsidP="00607BFE">
      <w:pPr>
        <w:tabs>
          <w:tab w:val="left" w:pos="-720"/>
          <w:tab w:val="left" w:pos="3060"/>
        </w:tabs>
        <w:suppressAutoHyphens/>
        <w:spacing w:line="240" w:lineRule="atLeast"/>
        <w:jc w:val="center"/>
        <w:rPr>
          <w:b/>
          <w:sz w:val="26"/>
          <w:szCs w:val="28"/>
        </w:rPr>
      </w:pPr>
      <w:r w:rsidRPr="00727109">
        <w:rPr>
          <w:b/>
          <w:sz w:val="26"/>
          <w:szCs w:val="28"/>
        </w:rPr>
        <w:t>_____________</w:t>
      </w:r>
    </w:p>
    <w:p w:rsidR="00607BFE" w:rsidRPr="00727109" w:rsidRDefault="00607BFE" w:rsidP="00607BFE">
      <w:pPr>
        <w:tabs>
          <w:tab w:val="left" w:pos="3060"/>
          <w:tab w:val="center" w:pos="4680"/>
        </w:tabs>
        <w:suppressAutoHyphens/>
        <w:spacing w:line="240" w:lineRule="atLeast"/>
        <w:rPr>
          <w:sz w:val="26"/>
          <w:szCs w:val="28"/>
        </w:rPr>
      </w:pPr>
    </w:p>
    <w:p w:rsidR="00607BFE" w:rsidRPr="00727109" w:rsidRDefault="00607BFE" w:rsidP="00607BFE">
      <w:pPr>
        <w:pBdr>
          <w:bottom w:val="single" w:sz="12" w:space="1" w:color="auto"/>
        </w:pBdr>
        <w:tabs>
          <w:tab w:val="left" w:pos="3060"/>
          <w:tab w:val="center" w:pos="4680"/>
        </w:tabs>
        <w:suppressAutoHyphens/>
        <w:spacing w:line="240" w:lineRule="atLeast"/>
        <w:jc w:val="center"/>
        <w:rPr>
          <w:sz w:val="26"/>
          <w:szCs w:val="28"/>
        </w:rPr>
      </w:pPr>
      <w:r w:rsidRPr="00727109">
        <w:rPr>
          <w:sz w:val="26"/>
          <w:szCs w:val="28"/>
        </w:rPr>
        <w:t>ON APPEAL FROM THE UNITED STATES BANKRUPTCY COURT</w:t>
      </w:r>
      <w:r w:rsidRPr="00727109">
        <w:rPr>
          <w:sz w:val="26"/>
          <w:szCs w:val="28"/>
        </w:rPr>
        <w:br/>
        <w:t>FOR THE DISTRICT OF ARIZONA</w:t>
      </w:r>
    </w:p>
    <w:p w:rsidR="00607BFE" w:rsidRPr="00727109" w:rsidRDefault="00607BFE" w:rsidP="00607BFE">
      <w:pPr>
        <w:pBdr>
          <w:bottom w:val="single" w:sz="12" w:space="1" w:color="auto"/>
        </w:pBdr>
        <w:tabs>
          <w:tab w:val="left" w:pos="3060"/>
          <w:tab w:val="center" w:pos="4680"/>
        </w:tabs>
        <w:suppressAutoHyphens/>
        <w:spacing w:line="240" w:lineRule="atLeast"/>
        <w:rPr>
          <w:b/>
          <w:sz w:val="26"/>
          <w:szCs w:val="28"/>
        </w:rPr>
      </w:pPr>
    </w:p>
    <w:p w:rsidR="00607BFE" w:rsidRPr="00727109" w:rsidRDefault="00607BFE" w:rsidP="00607BFE">
      <w:pPr>
        <w:tabs>
          <w:tab w:val="left" w:pos="-720"/>
          <w:tab w:val="left" w:pos="3060"/>
        </w:tabs>
        <w:suppressAutoHyphens/>
        <w:spacing w:line="240" w:lineRule="atLeast"/>
        <w:rPr>
          <w:b/>
          <w:sz w:val="26"/>
          <w:szCs w:val="28"/>
        </w:rPr>
      </w:pPr>
    </w:p>
    <w:p w:rsidR="00607BFE" w:rsidRPr="00727109" w:rsidRDefault="00607BFE" w:rsidP="00607BFE">
      <w:pPr>
        <w:pBdr>
          <w:bottom w:val="single" w:sz="12" w:space="1" w:color="auto"/>
        </w:pBdr>
        <w:tabs>
          <w:tab w:val="left" w:pos="3060"/>
          <w:tab w:val="center" w:pos="4680"/>
        </w:tabs>
        <w:suppressAutoHyphens/>
        <w:spacing w:line="240" w:lineRule="atLeast"/>
        <w:jc w:val="center"/>
        <w:rPr>
          <w:b/>
          <w:sz w:val="26"/>
          <w:szCs w:val="28"/>
        </w:rPr>
      </w:pPr>
      <w:r w:rsidRPr="00727109">
        <w:rPr>
          <w:b/>
          <w:sz w:val="26"/>
          <w:szCs w:val="28"/>
        </w:rPr>
        <w:t xml:space="preserve">BRIEF OF </w:t>
      </w:r>
      <w:r w:rsidRPr="00727109">
        <w:rPr>
          <w:b/>
          <w:i/>
          <w:sz w:val="26"/>
          <w:szCs w:val="28"/>
        </w:rPr>
        <w:t>AMICUS CURIAE</w:t>
      </w:r>
      <w:r w:rsidRPr="00727109">
        <w:rPr>
          <w:b/>
          <w:sz w:val="26"/>
          <w:szCs w:val="28"/>
        </w:rPr>
        <w:t xml:space="preserve"> NATIONAL ASSOCIATION OF CONSUMER BANKRUPTCY ATTORNEYS IN SUPPORT OF DEBTORS-APPELL</w:t>
      </w:r>
      <w:r>
        <w:rPr>
          <w:b/>
          <w:sz w:val="26"/>
          <w:szCs w:val="28"/>
        </w:rPr>
        <w:t>ANTS</w:t>
      </w:r>
    </w:p>
    <w:p w:rsidR="00607BFE" w:rsidRPr="00D01664" w:rsidRDefault="00607BFE" w:rsidP="00607BFE">
      <w:pPr>
        <w:pBdr>
          <w:bottom w:val="single" w:sz="12" w:space="1" w:color="auto"/>
        </w:pBdr>
        <w:tabs>
          <w:tab w:val="left" w:pos="3060"/>
          <w:tab w:val="center" w:pos="4680"/>
        </w:tabs>
        <w:suppressAutoHyphens/>
        <w:spacing w:line="240" w:lineRule="atLeast"/>
        <w:jc w:val="center"/>
        <w:rPr>
          <w:b/>
          <w:sz w:val="28"/>
          <w:szCs w:val="28"/>
        </w:rPr>
      </w:pPr>
    </w:p>
    <w:p w:rsidR="00607BFE" w:rsidRPr="00D01664" w:rsidRDefault="00607BFE" w:rsidP="00607BFE">
      <w:pPr>
        <w:tabs>
          <w:tab w:val="left" w:pos="4680"/>
        </w:tabs>
        <w:jc w:val="center"/>
        <w:rPr>
          <w:b/>
          <w:bCs w:val="0"/>
          <w:i/>
          <w:sz w:val="28"/>
          <w:szCs w:val="28"/>
        </w:rPr>
      </w:pPr>
    </w:p>
    <w:p w:rsidR="00607BFE" w:rsidRPr="00727109" w:rsidRDefault="00607BFE" w:rsidP="00607BFE">
      <w:pPr>
        <w:tabs>
          <w:tab w:val="left" w:pos="4680"/>
        </w:tabs>
        <w:rPr>
          <w:smallCaps/>
          <w:sz w:val="26"/>
          <w:szCs w:val="28"/>
        </w:rPr>
      </w:pPr>
      <w:r w:rsidRPr="00727109">
        <w:rPr>
          <w:smallCaps/>
          <w:sz w:val="26"/>
          <w:szCs w:val="28"/>
        </w:rPr>
        <w:t xml:space="preserve">Tara </w:t>
      </w:r>
      <w:proofErr w:type="spellStart"/>
      <w:r w:rsidRPr="00727109">
        <w:rPr>
          <w:smallCaps/>
          <w:sz w:val="26"/>
          <w:szCs w:val="28"/>
        </w:rPr>
        <w:t>Twomey</w:t>
      </w:r>
      <w:proofErr w:type="spellEnd"/>
      <w:r w:rsidRPr="00727109">
        <w:rPr>
          <w:smallCaps/>
          <w:sz w:val="26"/>
          <w:szCs w:val="28"/>
        </w:rPr>
        <w:t xml:space="preserve">, Esq. </w:t>
      </w:r>
      <w:r>
        <w:rPr>
          <w:smallCaps/>
          <w:sz w:val="26"/>
          <w:szCs w:val="28"/>
        </w:rPr>
        <w:tab/>
      </w:r>
      <w:r>
        <w:rPr>
          <w:smallCaps/>
          <w:sz w:val="26"/>
          <w:szCs w:val="28"/>
        </w:rPr>
        <w:tab/>
      </w:r>
      <w:r>
        <w:rPr>
          <w:smallCaps/>
          <w:sz w:val="26"/>
          <w:szCs w:val="28"/>
        </w:rPr>
        <w:tab/>
      </w:r>
    </w:p>
    <w:p w:rsidR="00607BFE" w:rsidRPr="00727109" w:rsidRDefault="00607BFE" w:rsidP="00607BFE">
      <w:pPr>
        <w:tabs>
          <w:tab w:val="left" w:pos="4680"/>
        </w:tabs>
        <w:rPr>
          <w:sz w:val="26"/>
          <w:szCs w:val="28"/>
        </w:rPr>
      </w:pPr>
      <w:r>
        <w:rPr>
          <w:sz w:val="26"/>
          <w:szCs w:val="28"/>
        </w:rPr>
        <w:t xml:space="preserve">Principal </w:t>
      </w:r>
      <w:r w:rsidRPr="00727109">
        <w:rPr>
          <w:sz w:val="26"/>
          <w:szCs w:val="28"/>
        </w:rPr>
        <w:t xml:space="preserve">Attorney for </w:t>
      </w:r>
      <w:r w:rsidRPr="00727109">
        <w:rPr>
          <w:i/>
          <w:sz w:val="26"/>
          <w:szCs w:val="28"/>
        </w:rPr>
        <w:t>amicus curiae</w:t>
      </w:r>
      <w:r>
        <w:rPr>
          <w:i/>
          <w:sz w:val="26"/>
          <w:szCs w:val="28"/>
        </w:rPr>
        <w:tab/>
      </w:r>
    </w:p>
    <w:p w:rsidR="00607BFE" w:rsidRPr="00727109" w:rsidRDefault="00607BFE" w:rsidP="00607BFE">
      <w:pPr>
        <w:tabs>
          <w:tab w:val="left" w:pos="4680"/>
        </w:tabs>
        <w:rPr>
          <w:sz w:val="26"/>
          <w:szCs w:val="28"/>
        </w:rPr>
      </w:pPr>
      <w:r w:rsidRPr="00727109">
        <w:rPr>
          <w:sz w:val="26"/>
          <w:szCs w:val="28"/>
        </w:rPr>
        <w:t>National Association of Consumer</w:t>
      </w:r>
      <w:r>
        <w:rPr>
          <w:sz w:val="26"/>
          <w:szCs w:val="28"/>
        </w:rPr>
        <w:tab/>
      </w:r>
    </w:p>
    <w:p w:rsidR="00607BFE" w:rsidRPr="00727109" w:rsidRDefault="00607BFE" w:rsidP="00607BFE">
      <w:pPr>
        <w:tabs>
          <w:tab w:val="left" w:pos="4680"/>
        </w:tabs>
        <w:rPr>
          <w:sz w:val="26"/>
          <w:szCs w:val="28"/>
        </w:rPr>
      </w:pPr>
      <w:r w:rsidRPr="00727109">
        <w:rPr>
          <w:sz w:val="26"/>
          <w:szCs w:val="28"/>
        </w:rPr>
        <w:t>Bankruptcy Attorneys</w:t>
      </w:r>
      <w:r>
        <w:rPr>
          <w:sz w:val="26"/>
          <w:szCs w:val="28"/>
        </w:rPr>
        <w:tab/>
      </w:r>
    </w:p>
    <w:p w:rsidR="00607BFE" w:rsidRPr="00727109" w:rsidRDefault="00607BFE" w:rsidP="00607BFE">
      <w:pPr>
        <w:tabs>
          <w:tab w:val="left" w:pos="4680"/>
        </w:tabs>
        <w:rPr>
          <w:sz w:val="26"/>
          <w:szCs w:val="28"/>
        </w:rPr>
      </w:pPr>
      <w:r w:rsidRPr="00727109">
        <w:rPr>
          <w:sz w:val="26"/>
          <w:szCs w:val="28"/>
        </w:rPr>
        <w:t>1501 The Alameda</w:t>
      </w:r>
      <w:r>
        <w:rPr>
          <w:sz w:val="26"/>
          <w:szCs w:val="28"/>
        </w:rPr>
        <w:tab/>
      </w:r>
    </w:p>
    <w:p w:rsidR="00607BFE" w:rsidRPr="00727109" w:rsidRDefault="00607BFE" w:rsidP="00607BFE">
      <w:pPr>
        <w:tabs>
          <w:tab w:val="left" w:pos="4680"/>
        </w:tabs>
        <w:rPr>
          <w:sz w:val="26"/>
          <w:szCs w:val="28"/>
        </w:rPr>
      </w:pPr>
      <w:r w:rsidRPr="00727109">
        <w:rPr>
          <w:sz w:val="26"/>
          <w:szCs w:val="28"/>
        </w:rPr>
        <w:t xml:space="preserve">San Jose, CA 95126 </w:t>
      </w:r>
    </w:p>
    <w:p w:rsidR="00607BFE" w:rsidRDefault="00607BFE" w:rsidP="00607BFE">
      <w:pPr>
        <w:tabs>
          <w:tab w:val="left" w:pos="4680"/>
        </w:tabs>
        <w:rPr>
          <w:sz w:val="26"/>
          <w:szCs w:val="28"/>
        </w:rPr>
      </w:pPr>
      <w:r w:rsidRPr="00727109">
        <w:rPr>
          <w:sz w:val="26"/>
          <w:szCs w:val="28"/>
        </w:rPr>
        <w:t>(831) 229-0256</w:t>
      </w:r>
    </w:p>
    <w:p w:rsidR="00607BFE" w:rsidRDefault="00607BFE" w:rsidP="00607BFE">
      <w:pPr>
        <w:tabs>
          <w:tab w:val="left" w:pos="4680"/>
        </w:tabs>
        <w:rPr>
          <w:sz w:val="26"/>
          <w:szCs w:val="28"/>
        </w:rPr>
      </w:pPr>
      <w:r>
        <w:rPr>
          <w:sz w:val="26"/>
          <w:szCs w:val="28"/>
        </w:rPr>
        <w:t>ttwomey@me.com</w:t>
      </w:r>
      <w:r>
        <w:rPr>
          <w:sz w:val="26"/>
          <w:szCs w:val="28"/>
        </w:rPr>
        <w:tab/>
      </w:r>
    </w:p>
    <w:p w:rsidR="00607BFE" w:rsidRPr="00727109" w:rsidRDefault="00607BFE" w:rsidP="00607BFE">
      <w:pPr>
        <w:tabs>
          <w:tab w:val="left" w:pos="4680"/>
        </w:tabs>
        <w:ind w:left="4320"/>
        <w:rPr>
          <w:sz w:val="26"/>
          <w:szCs w:val="28"/>
        </w:rPr>
      </w:pPr>
      <w:r>
        <w:rPr>
          <w:sz w:val="26"/>
          <w:szCs w:val="28"/>
        </w:rPr>
        <w:tab/>
      </w:r>
    </w:p>
    <w:p w:rsidR="00607BFE" w:rsidRPr="00727109" w:rsidRDefault="00607BFE" w:rsidP="00607BFE">
      <w:pPr>
        <w:tabs>
          <w:tab w:val="left" w:pos="3060"/>
        </w:tabs>
        <w:rPr>
          <w:sz w:val="26"/>
          <w:szCs w:val="28"/>
        </w:rPr>
        <w:sectPr w:rsidR="00607BFE" w:rsidRPr="00727109">
          <w:footerReference w:type="even" r:id="rId7"/>
          <w:footerReference w:type="default" r:id="rId8"/>
          <w:pgSz w:w="12240" w:h="15840"/>
          <w:pgMar w:top="1440" w:right="1800" w:bottom="1440" w:left="1800" w:header="720" w:footer="720" w:gutter="0"/>
          <w:pgNumType w:fmt="lowerRoman" w:start="1"/>
          <w:cols w:space="720"/>
          <w:titlePg/>
          <w:docGrid w:linePitch="360"/>
        </w:sectPr>
      </w:pPr>
      <w:r>
        <w:rPr>
          <w:sz w:val="26"/>
          <w:szCs w:val="28"/>
        </w:rPr>
        <w:t>June 21, 2011</w:t>
      </w:r>
    </w:p>
    <w:p w:rsidR="00607BFE" w:rsidRPr="009E224F" w:rsidRDefault="00607BFE" w:rsidP="00607BFE">
      <w:pPr>
        <w:pStyle w:val="Heading1"/>
        <w:jc w:val="center"/>
        <w:rPr>
          <w:rFonts w:ascii="Garamond" w:hAnsi="Garamond" w:cs="Times New Roman"/>
          <w:sz w:val="28"/>
          <w:szCs w:val="28"/>
        </w:rPr>
      </w:pPr>
      <w:bookmarkStart w:id="2" w:name="_Toc244505139"/>
      <w:r w:rsidRPr="009E224F">
        <w:rPr>
          <w:rFonts w:ascii="Garamond" w:hAnsi="Garamond" w:cs="Times New Roman"/>
          <w:sz w:val="28"/>
          <w:szCs w:val="28"/>
        </w:rPr>
        <w:lastRenderedPageBreak/>
        <w:t>CORPORATE DISCLOSURE STATEMENT</w:t>
      </w:r>
      <w:bookmarkEnd w:id="2"/>
    </w:p>
    <w:p w:rsidR="00607BFE" w:rsidRPr="009E224F" w:rsidRDefault="00607BFE" w:rsidP="00607BFE">
      <w:pPr>
        <w:rPr>
          <w:rFonts w:ascii="Garamond" w:hAnsi="Garamond"/>
          <w:sz w:val="28"/>
          <w:szCs w:val="28"/>
        </w:rPr>
      </w:pPr>
    </w:p>
    <w:p w:rsidR="00607BFE" w:rsidRPr="009E224F" w:rsidRDefault="00607BFE" w:rsidP="00607BFE">
      <w:pPr>
        <w:spacing w:line="480" w:lineRule="auto"/>
        <w:ind w:firstLine="720"/>
        <w:rPr>
          <w:rFonts w:ascii="Garamond" w:hAnsi="Garamond"/>
          <w:sz w:val="28"/>
          <w:szCs w:val="28"/>
        </w:rPr>
      </w:pPr>
      <w:proofErr w:type="gramStart"/>
      <w:r w:rsidRPr="009E224F">
        <w:rPr>
          <w:rFonts w:ascii="Garamond" w:hAnsi="Garamond"/>
          <w:sz w:val="28"/>
          <w:szCs w:val="28"/>
        </w:rPr>
        <w:t>Pursuant to Fed.</w:t>
      </w:r>
      <w:proofErr w:type="gramEnd"/>
      <w:r w:rsidRPr="009E224F">
        <w:rPr>
          <w:rFonts w:ascii="Garamond" w:hAnsi="Garamond"/>
          <w:sz w:val="28"/>
          <w:szCs w:val="28"/>
        </w:rPr>
        <w:t xml:space="preserve"> R. App. P. 26.1(a), </w:t>
      </w:r>
      <w:r w:rsidRPr="009E224F">
        <w:rPr>
          <w:rFonts w:ascii="Garamond" w:hAnsi="Garamond"/>
          <w:i/>
          <w:sz w:val="28"/>
          <w:szCs w:val="28"/>
        </w:rPr>
        <w:t>amicus curiae</w:t>
      </w:r>
      <w:r w:rsidRPr="009E224F">
        <w:rPr>
          <w:rFonts w:ascii="Garamond" w:hAnsi="Garamond"/>
          <w:sz w:val="28"/>
          <w:szCs w:val="28"/>
        </w:rPr>
        <w:t>, The National Association of Consumer Bankruptcy Attorneys states that it is a nongovernmental corporate entity that has no parent corporations and does not issue stock.</w:t>
      </w:r>
    </w:p>
    <w:p w:rsidR="00607BFE" w:rsidRPr="009C2E1D" w:rsidRDefault="00607BFE" w:rsidP="00607BFE">
      <w:pPr>
        <w:tabs>
          <w:tab w:val="right" w:leader="dot" w:pos="8640"/>
        </w:tabs>
        <w:spacing w:line="480" w:lineRule="auto"/>
        <w:jc w:val="center"/>
        <w:rPr>
          <w:rFonts w:ascii="Garamond" w:hAnsi="Garamond"/>
          <w:b/>
          <w:sz w:val="28"/>
          <w:szCs w:val="28"/>
        </w:rPr>
      </w:pPr>
      <w:r w:rsidRPr="00D01664">
        <w:rPr>
          <w:sz w:val="28"/>
          <w:szCs w:val="28"/>
        </w:rPr>
        <w:br w:type="page"/>
      </w:r>
      <w:r w:rsidRPr="009C2E1D">
        <w:rPr>
          <w:rFonts w:ascii="Garamond" w:hAnsi="Garamond"/>
          <w:b/>
          <w:sz w:val="28"/>
          <w:szCs w:val="28"/>
        </w:rPr>
        <w:lastRenderedPageBreak/>
        <w:t>TABLE OF CONTENTS</w:t>
      </w:r>
    </w:p>
    <w:p w:rsidR="00607BFE" w:rsidRPr="009C2E1D" w:rsidRDefault="00607BFE" w:rsidP="00607BFE">
      <w:pPr>
        <w:pStyle w:val="TOC1"/>
        <w:tabs>
          <w:tab w:val="clear" w:pos="8820"/>
        </w:tabs>
        <w:spacing w:line="360" w:lineRule="auto"/>
        <w:rPr>
          <w:rFonts w:ascii="Garamond" w:hAnsi="Garamond"/>
          <w:caps w:val="0"/>
          <w:noProof/>
          <w:sz w:val="24"/>
          <w:szCs w:val="24"/>
        </w:rPr>
      </w:pPr>
      <w:r w:rsidRPr="009C2E1D">
        <w:rPr>
          <w:rFonts w:ascii="Garamond" w:hAnsi="Garamond"/>
          <w:noProof/>
          <w:szCs w:val="28"/>
        </w:rPr>
        <w:t>RULE 26.1 CORPORATE DISCLOSURE STATEMENT</w:t>
      </w:r>
      <w:r w:rsidRPr="009C2E1D">
        <w:rPr>
          <w:rFonts w:ascii="Garamond" w:hAnsi="Garamond"/>
          <w:noProof/>
        </w:rPr>
        <w:tab/>
      </w:r>
      <w:r w:rsidRPr="009C2E1D">
        <w:rPr>
          <w:rFonts w:ascii="Garamond" w:hAnsi="Garamond"/>
          <w:caps w:val="0"/>
          <w:noProof/>
        </w:rPr>
        <w:t>i</w:t>
      </w:r>
    </w:p>
    <w:p w:rsidR="00607BFE" w:rsidRPr="009C2E1D" w:rsidRDefault="00607BFE" w:rsidP="00607BFE">
      <w:pPr>
        <w:pStyle w:val="TOC1"/>
        <w:tabs>
          <w:tab w:val="clear" w:pos="8820"/>
        </w:tabs>
        <w:spacing w:line="360" w:lineRule="auto"/>
        <w:rPr>
          <w:rFonts w:ascii="Garamond" w:hAnsi="Garamond"/>
          <w:caps w:val="0"/>
          <w:noProof/>
        </w:rPr>
      </w:pPr>
      <w:r w:rsidRPr="009C2E1D">
        <w:rPr>
          <w:rFonts w:ascii="Garamond" w:hAnsi="Garamond"/>
          <w:noProof/>
          <w:szCs w:val="28"/>
        </w:rPr>
        <w:t>TABLE OF AUTHORITIES</w:t>
      </w:r>
      <w:r w:rsidRPr="009C2E1D">
        <w:rPr>
          <w:rFonts w:ascii="Garamond" w:hAnsi="Garamond"/>
          <w:noProof/>
        </w:rPr>
        <w:tab/>
      </w:r>
      <w:r w:rsidRPr="009C2E1D">
        <w:rPr>
          <w:rFonts w:ascii="Garamond" w:hAnsi="Garamond"/>
          <w:caps w:val="0"/>
          <w:noProof/>
        </w:rPr>
        <w:t>iii</w:t>
      </w:r>
    </w:p>
    <w:p w:rsidR="00607BFE" w:rsidRPr="009C2E1D" w:rsidRDefault="00607BFE" w:rsidP="00607BFE">
      <w:pPr>
        <w:pStyle w:val="TOC1"/>
        <w:tabs>
          <w:tab w:val="clear" w:pos="8820"/>
        </w:tabs>
        <w:spacing w:line="360" w:lineRule="auto"/>
        <w:rPr>
          <w:rFonts w:ascii="Garamond" w:hAnsi="Garamond"/>
          <w:noProof/>
        </w:rPr>
      </w:pPr>
      <w:r w:rsidRPr="009C2E1D">
        <w:rPr>
          <w:rFonts w:ascii="Garamond" w:hAnsi="Garamond"/>
          <w:noProof/>
        </w:rPr>
        <w:t xml:space="preserve">STATEMENT OF INTEREST OF </w:t>
      </w:r>
      <w:r w:rsidRPr="009C2E1D">
        <w:rPr>
          <w:rFonts w:ascii="Garamond" w:hAnsi="Garamond"/>
          <w:i/>
          <w:noProof/>
        </w:rPr>
        <w:t>AMICUS CURIAE</w:t>
      </w:r>
      <w:r w:rsidRPr="009C2E1D">
        <w:rPr>
          <w:rFonts w:ascii="Garamond" w:hAnsi="Garamond"/>
          <w:noProof/>
        </w:rPr>
        <w:tab/>
        <w:t>1</w:t>
      </w:r>
    </w:p>
    <w:p w:rsidR="00607BFE" w:rsidRPr="009C2E1D" w:rsidRDefault="00607BFE" w:rsidP="00607BFE">
      <w:pPr>
        <w:pStyle w:val="TOC1"/>
        <w:tabs>
          <w:tab w:val="clear" w:pos="8820"/>
        </w:tabs>
        <w:spacing w:line="360" w:lineRule="auto"/>
        <w:rPr>
          <w:rFonts w:ascii="Garamond" w:hAnsi="Garamond"/>
          <w:noProof/>
        </w:rPr>
      </w:pPr>
      <w:r w:rsidRPr="009C2E1D">
        <w:rPr>
          <w:rFonts w:ascii="Garamond" w:hAnsi="Garamond"/>
          <w:noProof/>
          <w:szCs w:val="28"/>
        </w:rPr>
        <w:t>SUMMARY OF ARGUMENT</w:t>
      </w:r>
      <w:r w:rsidRPr="009C2E1D">
        <w:rPr>
          <w:rFonts w:ascii="Garamond" w:hAnsi="Garamond"/>
          <w:noProof/>
        </w:rPr>
        <w:tab/>
        <w:t>2</w:t>
      </w:r>
    </w:p>
    <w:p w:rsidR="00607BFE" w:rsidRPr="009C2E1D" w:rsidRDefault="00607BFE" w:rsidP="00607BFE">
      <w:pPr>
        <w:pStyle w:val="TOC1"/>
        <w:tabs>
          <w:tab w:val="clear" w:pos="8820"/>
        </w:tabs>
        <w:spacing w:line="360" w:lineRule="auto"/>
        <w:rPr>
          <w:rFonts w:ascii="Garamond" w:hAnsi="Garamond"/>
          <w:noProof/>
        </w:rPr>
      </w:pPr>
      <w:r w:rsidRPr="009C2E1D">
        <w:rPr>
          <w:rFonts w:ascii="Garamond" w:hAnsi="Garamond"/>
          <w:noProof/>
        </w:rPr>
        <w:t>ARGUMENT</w:t>
      </w:r>
      <w:r w:rsidRPr="009C2E1D">
        <w:rPr>
          <w:rFonts w:ascii="Garamond" w:hAnsi="Garamond"/>
          <w:noProof/>
        </w:rPr>
        <w:tab/>
      </w:r>
      <w:r>
        <w:rPr>
          <w:rFonts w:ascii="Garamond" w:hAnsi="Garamond"/>
          <w:noProof/>
        </w:rPr>
        <w:t>3</w:t>
      </w:r>
    </w:p>
    <w:p w:rsidR="00607BFE" w:rsidRPr="009C2E1D" w:rsidRDefault="00607BFE" w:rsidP="00607BFE">
      <w:pPr>
        <w:rPr>
          <w:rFonts w:ascii="Garamond" w:hAnsi="Garamond"/>
        </w:rPr>
      </w:pPr>
    </w:p>
    <w:p w:rsidR="00607BFE" w:rsidRPr="006D2375" w:rsidRDefault="00607BFE" w:rsidP="00607BFE">
      <w:pPr>
        <w:tabs>
          <w:tab w:val="left" w:pos="720"/>
          <w:tab w:val="left" w:pos="1440"/>
          <w:tab w:val="right" w:leader="dot" w:pos="9000"/>
        </w:tabs>
        <w:ind w:left="1440" w:hanging="1440"/>
        <w:rPr>
          <w:rFonts w:ascii="Garamond" w:hAnsi="Garamond"/>
          <w:sz w:val="28"/>
          <w:szCs w:val="28"/>
        </w:rPr>
      </w:pPr>
      <w:r w:rsidRPr="006D2375">
        <w:rPr>
          <w:rFonts w:ascii="Garamond" w:hAnsi="Garamond"/>
          <w:sz w:val="28"/>
          <w:szCs w:val="28"/>
        </w:rPr>
        <w:tab/>
        <w:t xml:space="preserve">I. </w:t>
      </w:r>
      <w:r w:rsidRPr="006D2375">
        <w:rPr>
          <w:rFonts w:ascii="Garamond" w:hAnsi="Garamond"/>
          <w:sz w:val="28"/>
          <w:szCs w:val="28"/>
        </w:rPr>
        <w:tab/>
      </w:r>
      <w:r w:rsidRPr="006D2375">
        <w:rPr>
          <w:rFonts w:ascii="Garamond" w:hAnsi="Garamond"/>
          <w:sz w:val="28"/>
        </w:rPr>
        <w:t>The statutory framework for chapter 11 encourages reorganization, rather than liquidation.</w:t>
      </w:r>
      <w:r w:rsidRPr="006D2375">
        <w:rPr>
          <w:rFonts w:ascii="Garamond" w:hAnsi="Garamond"/>
          <w:sz w:val="28"/>
          <w:szCs w:val="28"/>
        </w:rPr>
        <w:tab/>
      </w:r>
      <w:r>
        <w:rPr>
          <w:rFonts w:ascii="Garamond" w:hAnsi="Garamond"/>
          <w:sz w:val="28"/>
          <w:szCs w:val="28"/>
        </w:rPr>
        <w:t>3</w:t>
      </w:r>
    </w:p>
    <w:p w:rsidR="00607BFE" w:rsidRPr="006D2375" w:rsidRDefault="00607BFE" w:rsidP="00607BFE">
      <w:pPr>
        <w:tabs>
          <w:tab w:val="left" w:pos="720"/>
          <w:tab w:val="left" w:pos="1440"/>
          <w:tab w:val="right" w:leader="dot" w:pos="9000"/>
        </w:tabs>
        <w:ind w:left="1440" w:hanging="1440"/>
        <w:rPr>
          <w:rFonts w:ascii="Garamond" w:hAnsi="Garamond"/>
          <w:sz w:val="28"/>
          <w:szCs w:val="28"/>
        </w:rPr>
      </w:pPr>
    </w:p>
    <w:p w:rsidR="00607BFE" w:rsidRPr="006D2375" w:rsidRDefault="00607BFE" w:rsidP="00607BFE">
      <w:pPr>
        <w:tabs>
          <w:tab w:val="right" w:leader="dot" w:pos="9000"/>
        </w:tabs>
        <w:ind w:left="1440" w:hanging="720"/>
        <w:rPr>
          <w:rFonts w:ascii="Garamond" w:hAnsi="Garamond"/>
          <w:sz w:val="28"/>
          <w:szCs w:val="28"/>
        </w:rPr>
      </w:pPr>
      <w:r w:rsidRPr="006D2375">
        <w:rPr>
          <w:rFonts w:ascii="Garamond" w:hAnsi="Garamond"/>
          <w:sz w:val="28"/>
          <w:szCs w:val="28"/>
        </w:rPr>
        <w:t xml:space="preserve">II.  </w:t>
      </w:r>
      <w:r w:rsidRPr="006D2375">
        <w:rPr>
          <w:rFonts w:ascii="Garamond" w:hAnsi="Garamond"/>
          <w:sz w:val="28"/>
          <w:szCs w:val="28"/>
        </w:rPr>
        <w:tab/>
      </w:r>
      <w:r w:rsidRPr="006D2375">
        <w:rPr>
          <w:rFonts w:ascii="Garamond" w:hAnsi="Garamond"/>
          <w:sz w:val="28"/>
        </w:rPr>
        <w:t>The plain language of sections 1129(b</w:t>
      </w:r>
      <w:proofErr w:type="gramStart"/>
      <w:r w:rsidRPr="006D2375">
        <w:rPr>
          <w:rFonts w:ascii="Garamond" w:hAnsi="Garamond"/>
          <w:sz w:val="28"/>
        </w:rPr>
        <w:t>)(</w:t>
      </w:r>
      <w:proofErr w:type="gramEnd"/>
      <w:r w:rsidRPr="006D2375">
        <w:rPr>
          <w:rFonts w:ascii="Garamond" w:hAnsi="Garamond"/>
          <w:sz w:val="28"/>
        </w:rPr>
        <w:t>2)(B)(ii) and 1115 demonstrate that the absolute priority rule no longer applies to individual debtors.</w:t>
      </w:r>
      <w:r w:rsidRPr="006D2375">
        <w:rPr>
          <w:rFonts w:ascii="Garamond" w:hAnsi="Garamond"/>
          <w:sz w:val="28"/>
          <w:szCs w:val="28"/>
        </w:rPr>
        <w:t>...</w:t>
      </w:r>
      <w:r w:rsidRPr="006D2375">
        <w:rPr>
          <w:rFonts w:ascii="Garamond" w:hAnsi="Garamond"/>
          <w:sz w:val="28"/>
          <w:szCs w:val="28"/>
        </w:rPr>
        <w:tab/>
      </w:r>
      <w:r>
        <w:rPr>
          <w:rFonts w:ascii="Garamond" w:hAnsi="Garamond"/>
          <w:sz w:val="28"/>
          <w:szCs w:val="28"/>
        </w:rPr>
        <w:t>6</w:t>
      </w:r>
      <w:r w:rsidRPr="006D2375">
        <w:rPr>
          <w:rFonts w:ascii="Garamond" w:hAnsi="Garamond"/>
          <w:sz w:val="28"/>
          <w:szCs w:val="28"/>
        </w:rPr>
        <w:t xml:space="preserve"> </w:t>
      </w:r>
    </w:p>
    <w:p w:rsidR="00607BFE" w:rsidRPr="006D2375" w:rsidRDefault="00607BFE" w:rsidP="00607BFE">
      <w:pPr>
        <w:tabs>
          <w:tab w:val="right" w:leader="dot" w:pos="9000"/>
        </w:tabs>
        <w:ind w:left="1440" w:hanging="720"/>
        <w:rPr>
          <w:rFonts w:ascii="Garamond" w:hAnsi="Garamond"/>
          <w:sz w:val="28"/>
          <w:szCs w:val="28"/>
        </w:rPr>
      </w:pPr>
    </w:p>
    <w:p w:rsidR="00607BFE" w:rsidRPr="006D2375" w:rsidRDefault="00607BFE" w:rsidP="00607BFE">
      <w:pPr>
        <w:tabs>
          <w:tab w:val="right" w:leader="dot" w:pos="9000"/>
        </w:tabs>
        <w:ind w:left="1440" w:hanging="720"/>
        <w:rPr>
          <w:rFonts w:ascii="Garamond" w:hAnsi="Garamond"/>
          <w:color w:val="000000" w:themeColor="text1"/>
          <w:sz w:val="28"/>
        </w:rPr>
      </w:pPr>
      <w:r w:rsidRPr="006D2375">
        <w:rPr>
          <w:rFonts w:ascii="Garamond" w:hAnsi="Garamond"/>
          <w:sz w:val="28"/>
          <w:szCs w:val="28"/>
        </w:rPr>
        <w:t>III.</w:t>
      </w:r>
      <w:r w:rsidRPr="006D2375">
        <w:rPr>
          <w:rFonts w:ascii="Garamond" w:hAnsi="Garamond"/>
          <w:sz w:val="28"/>
          <w:szCs w:val="28"/>
        </w:rPr>
        <w:tab/>
      </w:r>
      <w:r w:rsidRPr="006D2375">
        <w:rPr>
          <w:rFonts w:ascii="Garamond" w:hAnsi="Garamond"/>
          <w:color w:val="000000" w:themeColor="text1"/>
          <w:sz w:val="28"/>
        </w:rPr>
        <w:t>To the extent this Court finds the language of sections 1129(b)(2)(B)(ii) and 1115 ambiguous, the history of the absolute priority rule and the 2005 amendments to the Code demonstrate that the absolute priority rule should not apply to individual debtors in chapter 11.</w:t>
      </w:r>
      <w:r w:rsidRPr="006D2375">
        <w:rPr>
          <w:rFonts w:ascii="Garamond" w:hAnsi="Garamond"/>
          <w:color w:val="000000" w:themeColor="text1"/>
          <w:sz w:val="28"/>
        </w:rPr>
        <w:tab/>
      </w:r>
      <w:r>
        <w:rPr>
          <w:rFonts w:ascii="Garamond" w:hAnsi="Garamond"/>
          <w:color w:val="000000" w:themeColor="text1"/>
          <w:sz w:val="28"/>
        </w:rPr>
        <w:t>11</w:t>
      </w:r>
    </w:p>
    <w:p w:rsidR="00607BFE" w:rsidRPr="006D2375" w:rsidRDefault="00607BFE" w:rsidP="00607BFE">
      <w:pPr>
        <w:tabs>
          <w:tab w:val="right" w:leader="dot" w:pos="9000"/>
        </w:tabs>
        <w:ind w:left="1440" w:hanging="720"/>
        <w:rPr>
          <w:rFonts w:ascii="Garamond" w:hAnsi="Garamond"/>
          <w:sz w:val="28"/>
          <w:szCs w:val="28"/>
        </w:rPr>
      </w:pPr>
    </w:p>
    <w:p w:rsidR="00607BFE" w:rsidRPr="006D2375" w:rsidRDefault="00607BFE" w:rsidP="00607BFE">
      <w:pPr>
        <w:tabs>
          <w:tab w:val="right" w:leader="dot" w:pos="9000"/>
        </w:tabs>
        <w:ind w:left="1440" w:hanging="720"/>
        <w:rPr>
          <w:rFonts w:ascii="Garamond" w:hAnsi="Garamond"/>
          <w:sz w:val="28"/>
          <w:szCs w:val="28"/>
        </w:rPr>
      </w:pPr>
      <w:r w:rsidRPr="006D2375">
        <w:rPr>
          <w:rFonts w:ascii="Garamond" w:hAnsi="Garamond"/>
          <w:sz w:val="28"/>
          <w:szCs w:val="28"/>
        </w:rPr>
        <w:t xml:space="preserve">IV. </w:t>
      </w:r>
      <w:r w:rsidRPr="006D2375">
        <w:rPr>
          <w:rFonts w:ascii="Garamond" w:hAnsi="Garamond"/>
          <w:sz w:val="28"/>
          <w:szCs w:val="28"/>
        </w:rPr>
        <w:tab/>
      </w:r>
      <w:r w:rsidRPr="006D2375">
        <w:rPr>
          <w:rFonts w:ascii="Garamond" w:hAnsi="Garamond"/>
          <w:sz w:val="28"/>
        </w:rPr>
        <w:t>Retention of the absolute priority rule makes it virtually impossible for sole proprietors, who are individual chapter 11 debtors, to confirm a plan of reorganization</w:t>
      </w:r>
      <w:r w:rsidRPr="006D2375">
        <w:rPr>
          <w:rFonts w:ascii="Garamond" w:hAnsi="Garamond"/>
          <w:sz w:val="28"/>
        </w:rPr>
        <w:tab/>
      </w:r>
      <w:r>
        <w:rPr>
          <w:rFonts w:ascii="Garamond" w:hAnsi="Garamond"/>
          <w:sz w:val="28"/>
        </w:rPr>
        <w:t>14</w:t>
      </w:r>
    </w:p>
    <w:p w:rsidR="00607BFE" w:rsidRPr="009C2E1D" w:rsidRDefault="00607BFE" w:rsidP="00607BFE">
      <w:pPr>
        <w:tabs>
          <w:tab w:val="right" w:leader="dot" w:pos="9000"/>
        </w:tabs>
        <w:ind w:left="1440"/>
        <w:rPr>
          <w:rFonts w:ascii="Garamond" w:hAnsi="Garamond"/>
          <w:sz w:val="28"/>
          <w:szCs w:val="28"/>
        </w:rPr>
      </w:pPr>
    </w:p>
    <w:p w:rsidR="00607BFE" w:rsidRPr="009C2E1D" w:rsidRDefault="00607BFE" w:rsidP="00607BFE">
      <w:pPr>
        <w:tabs>
          <w:tab w:val="right" w:leader="dot" w:pos="9000"/>
        </w:tabs>
        <w:rPr>
          <w:rFonts w:ascii="Garamond" w:hAnsi="Garamond"/>
          <w:sz w:val="28"/>
          <w:szCs w:val="28"/>
        </w:rPr>
      </w:pPr>
      <w:r w:rsidRPr="009C2E1D">
        <w:rPr>
          <w:rFonts w:ascii="Garamond" w:hAnsi="Garamond"/>
          <w:sz w:val="28"/>
          <w:szCs w:val="28"/>
        </w:rPr>
        <w:t>CONCLUSION</w:t>
      </w:r>
      <w:r w:rsidRPr="009C2E1D">
        <w:rPr>
          <w:rFonts w:ascii="Garamond" w:hAnsi="Garamond"/>
          <w:sz w:val="28"/>
          <w:szCs w:val="28"/>
        </w:rPr>
        <w:tab/>
      </w:r>
      <w:r>
        <w:rPr>
          <w:rFonts w:ascii="Garamond" w:hAnsi="Garamond"/>
          <w:sz w:val="28"/>
          <w:szCs w:val="28"/>
        </w:rPr>
        <w:t>15</w:t>
      </w:r>
    </w:p>
    <w:p w:rsidR="00607BFE" w:rsidRPr="009C2E1D" w:rsidRDefault="00607BFE" w:rsidP="00607BFE">
      <w:pPr>
        <w:tabs>
          <w:tab w:val="right" w:leader="dot" w:pos="9000"/>
        </w:tabs>
        <w:rPr>
          <w:rFonts w:ascii="Garamond" w:hAnsi="Garamond"/>
          <w:sz w:val="28"/>
          <w:szCs w:val="28"/>
        </w:rPr>
      </w:pPr>
    </w:p>
    <w:p w:rsidR="00607BFE" w:rsidRPr="009C2E1D" w:rsidRDefault="00607BFE" w:rsidP="00607BFE">
      <w:pPr>
        <w:jc w:val="center"/>
        <w:rPr>
          <w:rFonts w:ascii="Garamond" w:hAnsi="Garamond"/>
          <w:b/>
          <w:sz w:val="28"/>
          <w:szCs w:val="28"/>
        </w:rPr>
      </w:pPr>
      <w:r w:rsidRPr="009C2E1D">
        <w:rPr>
          <w:rFonts w:ascii="Garamond" w:hAnsi="Garamond"/>
          <w:b/>
          <w:sz w:val="28"/>
          <w:szCs w:val="28"/>
        </w:rPr>
        <w:br w:type="page"/>
      </w:r>
      <w:r w:rsidRPr="009C2E1D">
        <w:rPr>
          <w:rFonts w:ascii="Garamond" w:hAnsi="Garamond"/>
          <w:b/>
          <w:sz w:val="28"/>
          <w:szCs w:val="28"/>
        </w:rPr>
        <w:lastRenderedPageBreak/>
        <w:t>TABLE OF AUTHORITIES</w:t>
      </w:r>
    </w:p>
    <w:p w:rsidR="00607BFE" w:rsidRPr="009C2E1D" w:rsidRDefault="00607BFE" w:rsidP="00607BFE">
      <w:pPr>
        <w:rPr>
          <w:rFonts w:ascii="Garamond" w:hAnsi="Garamond"/>
          <w:b/>
          <w:sz w:val="28"/>
          <w:szCs w:val="28"/>
        </w:rPr>
      </w:pPr>
      <w:r w:rsidRPr="009C2E1D">
        <w:rPr>
          <w:rFonts w:ascii="Garamond" w:hAnsi="Garamond"/>
          <w:b/>
          <w:sz w:val="28"/>
          <w:szCs w:val="28"/>
        </w:rPr>
        <w:t>Cases</w:t>
      </w:r>
    </w:p>
    <w:p w:rsidR="00607BFE" w:rsidRPr="009C2E1D" w:rsidRDefault="00607BFE" w:rsidP="00607BFE">
      <w:pPr>
        <w:rPr>
          <w:rFonts w:ascii="Garamond" w:hAnsi="Garamond"/>
          <w:sz w:val="28"/>
          <w:szCs w:val="28"/>
        </w:rPr>
      </w:pPr>
    </w:p>
    <w:p w:rsidR="00607BFE" w:rsidRDefault="00607BFE" w:rsidP="00607BFE">
      <w:pPr>
        <w:tabs>
          <w:tab w:val="right" w:leader="dot" w:pos="9000"/>
        </w:tabs>
        <w:ind w:left="720" w:hanging="720"/>
        <w:rPr>
          <w:rFonts w:ascii="Garamond" w:hAnsi="Garamond"/>
          <w:sz w:val="28"/>
        </w:rPr>
      </w:pPr>
      <w:r w:rsidRPr="00CC1B91">
        <w:rPr>
          <w:rFonts w:ascii="Garamond" w:hAnsi="Garamond"/>
          <w:i/>
          <w:sz w:val="28"/>
        </w:rPr>
        <w:t xml:space="preserve">American Sur. Co. v. </w:t>
      </w:r>
      <w:proofErr w:type="spellStart"/>
      <w:r w:rsidRPr="00CC1B91">
        <w:rPr>
          <w:rFonts w:ascii="Garamond" w:hAnsi="Garamond"/>
          <w:i/>
          <w:sz w:val="28"/>
        </w:rPr>
        <w:t>Marotta</w:t>
      </w:r>
      <w:proofErr w:type="spellEnd"/>
      <w:r>
        <w:rPr>
          <w:rFonts w:ascii="Garamond" w:hAnsi="Garamond"/>
          <w:sz w:val="28"/>
        </w:rPr>
        <w:t xml:space="preserve">, </w:t>
      </w:r>
    </w:p>
    <w:p w:rsidR="00607BFE" w:rsidRPr="009C2E1D" w:rsidRDefault="00607BFE" w:rsidP="00607BFE">
      <w:pPr>
        <w:tabs>
          <w:tab w:val="right" w:leader="dot" w:pos="9000"/>
        </w:tabs>
        <w:ind w:left="720" w:hanging="720"/>
        <w:rPr>
          <w:rFonts w:ascii="Garamond" w:hAnsi="Garamond"/>
          <w:sz w:val="28"/>
          <w:szCs w:val="28"/>
        </w:rPr>
      </w:pPr>
      <w:r>
        <w:rPr>
          <w:rFonts w:ascii="Garamond" w:hAnsi="Garamond"/>
          <w:i/>
          <w:sz w:val="28"/>
        </w:rPr>
        <w:tab/>
      </w:r>
      <w:r>
        <w:rPr>
          <w:rFonts w:ascii="Garamond" w:hAnsi="Garamond"/>
          <w:sz w:val="28"/>
        </w:rPr>
        <w:t>287 U.S. 513 (1933)</w:t>
      </w:r>
      <w:r w:rsidRPr="009C2E1D">
        <w:rPr>
          <w:rFonts w:ascii="Garamond" w:hAnsi="Garamond"/>
          <w:sz w:val="28"/>
          <w:szCs w:val="28"/>
        </w:rPr>
        <w:tab/>
      </w:r>
      <w:r>
        <w:rPr>
          <w:rFonts w:ascii="Garamond" w:hAnsi="Garamond"/>
          <w:sz w:val="28"/>
          <w:szCs w:val="28"/>
        </w:rPr>
        <w:t>9</w:t>
      </w:r>
    </w:p>
    <w:p w:rsidR="00607BFE" w:rsidRPr="009C2E1D" w:rsidRDefault="00607BFE" w:rsidP="00607BFE">
      <w:pPr>
        <w:tabs>
          <w:tab w:val="right" w:leader="dot" w:pos="9000"/>
        </w:tabs>
        <w:ind w:left="720" w:hanging="720"/>
        <w:rPr>
          <w:rFonts w:ascii="Garamond" w:hAnsi="Garamond"/>
          <w:sz w:val="28"/>
          <w:szCs w:val="28"/>
        </w:rPr>
      </w:pPr>
    </w:p>
    <w:p w:rsidR="00607BFE" w:rsidRDefault="00607BFE" w:rsidP="00607BFE">
      <w:pPr>
        <w:tabs>
          <w:tab w:val="right" w:leader="dot" w:pos="9000"/>
        </w:tabs>
        <w:ind w:left="720" w:hanging="720"/>
        <w:rPr>
          <w:rFonts w:ascii="Garamond" w:hAnsi="Garamond"/>
          <w:sz w:val="28"/>
        </w:rPr>
      </w:pPr>
      <w:proofErr w:type="gramStart"/>
      <w:r w:rsidRPr="00271467">
        <w:rPr>
          <w:rFonts w:ascii="Garamond" w:hAnsi="Garamond"/>
          <w:i/>
          <w:sz w:val="28"/>
        </w:rPr>
        <w:t xml:space="preserve">Bank of Am. Nat. Trust and </w:t>
      </w:r>
      <w:proofErr w:type="spellStart"/>
      <w:r w:rsidRPr="00271467">
        <w:rPr>
          <w:rFonts w:ascii="Garamond" w:hAnsi="Garamond"/>
          <w:i/>
          <w:sz w:val="28"/>
        </w:rPr>
        <w:t>Sav</w:t>
      </w:r>
      <w:proofErr w:type="spellEnd"/>
      <w:r w:rsidRPr="00271467">
        <w:rPr>
          <w:rFonts w:ascii="Garamond" w:hAnsi="Garamond"/>
          <w:i/>
          <w:sz w:val="28"/>
        </w:rPr>
        <w:t>.</w:t>
      </w:r>
      <w:proofErr w:type="gramEnd"/>
      <w:r w:rsidRPr="00271467">
        <w:rPr>
          <w:rFonts w:ascii="Garamond" w:hAnsi="Garamond"/>
          <w:i/>
          <w:sz w:val="28"/>
        </w:rPr>
        <w:t xml:space="preserve"> </w:t>
      </w:r>
      <w:proofErr w:type="spellStart"/>
      <w:r w:rsidRPr="00271467">
        <w:rPr>
          <w:rFonts w:ascii="Garamond" w:hAnsi="Garamond"/>
          <w:i/>
          <w:sz w:val="28"/>
        </w:rPr>
        <w:t>Ass’n</w:t>
      </w:r>
      <w:proofErr w:type="spellEnd"/>
      <w:r w:rsidRPr="00271467">
        <w:rPr>
          <w:rFonts w:ascii="Garamond" w:hAnsi="Garamond"/>
          <w:i/>
          <w:sz w:val="28"/>
        </w:rPr>
        <w:t xml:space="preserve"> v. 203 North LaSalle St. </w:t>
      </w:r>
      <w:proofErr w:type="spellStart"/>
      <w:r w:rsidRPr="00271467">
        <w:rPr>
          <w:rFonts w:ascii="Garamond" w:hAnsi="Garamond"/>
          <w:i/>
          <w:sz w:val="28"/>
        </w:rPr>
        <w:t>P’ship</w:t>
      </w:r>
      <w:proofErr w:type="spellEnd"/>
      <w:r>
        <w:rPr>
          <w:rFonts w:ascii="Garamond" w:hAnsi="Garamond"/>
          <w:sz w:val="28"/>
        </w:rPr>
        <w:t xml:space="preserve">, </w:t>
      </w:r>
    </w:p>
    <w:p w:rsidR="00607BFE" w:rsidRDefault="00607BFE" w:rsidP="00607BFE">
      <w:pPr>
        <w:tabs>
          <w:tab w:val="right" w:leader="dot" w:pos="9000"/>
        </w:tabs>
        <w:ind w:left="720" w:hanging="720"/>
        <w:rPr>
          <w:rFonts w:ascii="Garamond" w:hAnsi="Garamond"/>
          <w:sz w:val="28"/>
          <w:szCs w:val="28"/>
        </w:rPr>
      </w:pPr>
      <w:r>
        <w:rPr>
          <w:rFonts w:ascii="Garamond" w:hAnsi="Garamond"/>
          <w:i/>
          <w:sz w:val="28"/>
        </w:rPr>
        <w:tab/>
      </w:r>
      <w:proofErr w:type="gramStart"/>
      <w:r>
        <w:rPr>
          <w:rFonts w:ascii="Garamond" w:hAnsi="Garamond"/>
          <w:sz w:val="28"/>
        </w:rPr>
        <w:t>526 U.S. 434 (1999).</w:t>
      </w:r>
      <w:proofErr w:type="gramEnd"/>
      <w:r w:rsidRPr="009C2E1D">
        <w:rPr>
          <w:rFonts w:ascii="Garamond" w:hAnsi="Garamond"/>
          <w:sz w:val="28"/>
          <w:szCs w:val="28"/>
        </w:rPr>
        <w:tab/>
      </w:r>
      <w:r>
        <w:rPr>
          <w:rFonts w:ascii="Garamond" w:hAnsi="Garamond"/>
          <w:sz w:val="28"/>
          <w:szCs w:val="28"/>
        </w:rPr>
        <w:t>11, 12</w:t>
      </w:r>
    </w:p>
    <w:p w:rsidR="00607BFE" w:rsidRDefault="00607BFE" w:rsidP="00607BFE">
      <w:pPr>
        <w:tabs>
          <w:tab w:val="right" w:leader="dot" w:pos="9000"/>
        </w:tabs>
        <w:ind w:left="720" w:hanging="720"/>
        <w:rPr>
          <w:rFonts w:ascii="Garamond" w:hAnsi="Garamond"/>
          <w:sz w:val="28"/>
          <w:szCs w:val="28"/>
        </w:rPr>
      </w:pPr>
    </w:p>
    <w:p w:rsidR="00607BFE" w:rsidRDefault="00607BFE" w:rsidP="00607BFE">
      <w:pPr>
        <w:tabs>
          <w:tab w:val="right" w:leader="dot" w:pos="9000"/>
        </w:tabs>
        <w:ind w:left="720" w:hanging="720"/>
        <w:rPr>
          <w:rFonts w:ascii="Garamond" w:hAnsi="Garamond"/>
          <w:sz w:val="28"/>
        </w:rPr>
      </w:pPr>
      <w:r w:rsidRPr="002D7985">
        <w:rPr>
          <w:rFonts w:ascii="Garamond" w:hAnsi="Garamond"/>
          <w:i/>
          <w:sz w:val="28"/>
        </w:rPr>
        <w:t>In re Bullard</w:t>
      </w:r>
      <w:r w:rsidRPr="002D7985">
        <w:rPr>
          <w:rFonts w:ascii="Garamond" w:hAnsi="Garamond"/>
          <w:sz w:val="28"/>
        </w:rPr>
        <w:t xml:space="preserve">, </w:t>
      </w:r>
    </w:p>
    <w:p w:rsidR="00607BFE" w:rsidRDefault="00607BFE" w:rsidP="00607BFE">
      <w:pPr>
        <w:tabs>
          <w:tab w:val="right" w:leader="dot" w:pos="9000"/>
        </w:tabs>
        <w:ind w:left="720" w:hanging="720"/>
        <w:rPr>
          <w:rFonts w:ascii="Garamond" w:hAnsi="Garamond"/>
          <w:sz w:val="28"/>
        </w:rPr>
      </w:pPr>
      <w:r>
        <w:rPr>
          <w:rFonts w:ascii="Garamond" w:hAnsi="Garamond"/>
          <w:i/>
          <w:sz w:val="28"/>
        </w:rPr>
        <w:tab/>
      </w:r>
      <w:proofErr w:type="gramStart"/>
      <w:r w:rsidRPr="002D7985">
        <w:rPr>
          <w:rFonts w:ascii="Garamond" w:hAnsi="Garamond"/>
          <w:sz w:val="28"/>
        </w:rPr>
        <w:t xml:space="preserve">358 </w:t>
      </w:r>
      <w:r>
        <w:rPr>
          <w:rFonts w:ascii="Garamond" w:hAnsi="Garamond"/>
          <w:sz w:val="28"/>
        </w:rPr>
        <w:t>B.R. 541 (</w:t>
      </w:r>
      <w:proofErr w:type="spellStart"/>
      <w:r>
        <w:rPr>
          <w:rFonts w:ascii="Garamond" w:hAnsi="Garamond"/>
          <w:sz w:val="28"/>
        </w:rPr>
        <w:t>Bankr</w:t>
      </w:r>
      <w:proofErr w:type="spellEnd"/>
      <w:r>
        <w:rPr>
          <w:rFonts w:ascii="Garamond" w:hAnsi="Garamond"/>
          <w:sz w:val="28"/>
        </w:rPr>
        <w:t>.</w:t>
      </w:r>
      <w:proofErr w:type="gramEnd"/>
      <w:r>
        <w:rPr>
          <w:rFonts w:ascii="Garamond" w:hAnsi="Garamond"/>
          <w:sz w:val="28"/>
        </w:rPr>
        <w:t xml:space="preserve"> D. Conn. 2007)</w:t>
      </w:r>
      <w:r>
        <w:rPr>
          <w:rFonts w:ascii="Garamond" w:hAnsi="Garamond"/>
          <w:sz w:val="28"/>
        </w:rPr>
        <w:tab/>
        <w:t>6</w:t>
      </w:r>
    </w:p>
    <w:p w:rsidR="00607BFE" w:rsidRDefault="00607BFE" w:rsidP="00607BFE">
      <w:pPr>
        <w:tabs>
          <w:tab w:val="right" w:leader="dot" w:pos="9000"/>
        </w:tabs>
        <w:ind w:left="720" w:hanging="720"/>
        <w:rPr>
          <w:rFonts w:ascii="Garamond" w:hAnsi="Garamond"/>
          <w:sz w:val="28"/>
        </w:rPr>
      </w:pPr>
    </w:p>
    <w:p w:rsidR="00607BFE" w:rsidRDefault="00607BFE" w:rsidP="00607BFE">
      <w:pPr>
        <w:tabs>
          <w:tab w:val="right" w:leader="dot" w:pos="9000"/>
        </w:tabs>
        <w:ind w:left="720" w:hanging="720"/>
        <w:rPr>
          <w:rFonts w:ascii="Garamond" w:hAnsi="Garamond"/>
          <w:sz w:val="28"/>
        </w:rPr>
      </w:pPr>
      <w:proofErr w:type="gramStart"/>
      <w:r w:rsidRPr="00D66C98">
        <w:rPr>
          <w:rFonts w:ascii="Garamond" w:hAnsi="Garamond"/>
          <w:i/>
          <w:sz w:val="28"/>
        </w:rPr>
        <w:t>Burgess v. U.S</w:t>
      </w:r>
      <w:r>
        <w:rPr>
          <w:rFonts w:ascii="Garamond" w:hAnsi="Garamond"/>
          <w:sz w:val="28"/>
        </w:rPr>
        <w:t>.,</w:t>
      </w:r>
      <w:proofErr w:type="gramEnd"/>
      <w:r>
        <w:rPr>
          <w:rFonts w:ascii="Garamond" w:hAnsi="Garamond"/>
          <w:sz w:val="28"/>
        </w:rPr>
        <w:t xml:space="preserve"> </w:t>
      </w:r>
    </w:p>
    <w:p w:rsidR="00607BFE" w:rsidRDefault="00607BFE" w:rsidP="00607BFE">
      <w:pPr>
        <w:tabs>
          <w:tab w:val="right" w:leader="dot" w:pos="9000"/>
        </w:tabs>
        <w:ind w:left="720" w:hanging="720"/>
        <w:rPr>
          <w:rFonts w:ascii="Garamond" w:hAnsi="Garamond"/>
          <w:sz w:val="28"/>
        </w:rPr>
      </w:pPr>
      <w:r>
        <w:rPr>
          <w:rFonts w:ascii="Garamond" w:hAnsi="Garamond"/>
          <w:i/>
          <w:sz w:val="28"/>
        </w:rPr>
        <w:tab/>
      </w:r>
      <w:r>
        <w:rPr>
          <w:rFonts w:ascii="Garamond" w:hAnsi="Garamond"/>
          <w:sz w:val="28"/>
        </w:rPr>
        <w:t>553 U.S. 124 (2008)</w:t>
      </w:r>
      <w:r>
        <w:rPr>
          <w:rFonts w:ascii="Garamond" w:hAnsi="Garamond"/>
          <w:sz w:val="28"/>
        </w:rPr>
        <w:tab/>
        <w:t>7</w:t>
      </w:r>
    </w:p>
    <w:p w:rsidR="00607BFE" w:rsidRDefault="00607BFE" w:rsidP="00607BFE">
      <w:pPr>
        <w:tabs>
          <w:tab w:val="right" w:leader="dot" w:pos="9000"/>
        </w:tabs>
        <w:ind w:left="720" w:hanging="720"/>
        <w:rPr>
          <w:rFonts w:ascii="Garamond" w:hAnsi="Garamond"/>
          <w:sz w:val="28"/>
        </w:rPr>
      </w:pPr>
    </w:p>
    <w:p w:rsidR="00607BFE" w:rsidRDefault="00607BFE" w:rsidP="00607BFE">
      <w:pPr>
        <w:tabs>
          <w:tab w:val="right" w:leader="dot" w:pos="9000"/>
        </w:tabs>
        <w:ind w:left="720" w:hanging="720"/>
        <w:rPr>
          <w:rFonts w:ascii="Garamond" w:hAnsi="Garamond"/>
          <w:sz w:val="28"/>
        </w:rPr>
      </w:pPr>
      <w:r w:rsidRPr="006E75F5">
        <w:rPr>
          <w:rFonts w:ascii="Garamond" w:hAnsi="Garamond"/>
          <w:i/>
          <w:sz w:val="28"/>
        </w:rPr>
        <w:t xml:space="preserve">Conn. Nat'l Bank v. </w:t>
      </w:r>
      <w:proofErr w:type="spellStart"/>
      <w:r w:rsidRPr="006E75F5">
        <w:rPr>
          <w:rFonts w:ascii="Garamond" w:hAnsi="Garamond"/>
          <w:i/>
          <w:sz w:val="28"/>
        </w:rPr>
        <w:t>Germain</w:t>
      </w:r>
      <w:proofErr w:type="spellEnd"/>
      <w:r w:rsidRPr="00B02C3A">
        <w:rPr>
          <w:rFonts w:ascii="Garamond" w:hAnsi="Garamond"/>
          <w:sz w:val="28"/>
        </w:rPr>
        <w:t xml:space="preserve">, </w:t>
      </w:r>
    </w:p>
    <w:p w:rsidR="00607BFE" w:rsidRPr="009C2E1D" w:rsidRDefault="00607BFE" w:rsidP="00607BFE">
      <w:pPr>
        <w:tabs>
          <w:tab w:val="right" w:leader="dot" w:pos="9000"/>
        </w:tabs>
        <w:ind w:left="720" w:hanging="720"/>
        <w:rPr>
          <w:rFonts w:ascii="Garamond" w:hAnsi="Garamond"/>
          <w:sz w:val="28"/>
          <w:szCs w:val="28"/>
        </w:rPr>
      </w:pPr>
      <w:r>
        <w:rPr>
          <w:rFonts w:ascii="Garamond" w:hAnsi="Garamond"/>
          <w:i/>
          <w:sz w:val="28"/>
        </w:rPr>
        <w:tab/>
      </w:r>
      <w:r w:rsidRPr="00B02C3A">
        <w:rPr>
          <w:rFonts w:ascii="Garamond" w:hAnsi="Garamond"/>
          <w:sz w:val="28"/>
        </w:rPr>
        <w:t>503 U.S. 249,</w:t>
      </w:r>
      <w:r>
        <w:rPr>
          <w:rFonts w:ascii="Garamond" w:hAnsi="Garamond"/>
          <w:sz w:val="28"/>
        </w:rPr>
        <w:t xml:space="preserve"> </w:t>
      </w:r>
      <w:r w:rsidRPr="00B02C3A">
        <w:rPr>
          <w:rFonts w:ascii="Garamond" w:hAnsi="Garamond"/>
          <w:sz w:val="28"/>
        </w:rPr>
        <w:t xml:space="preserve">112 </w:t>
      </w:r>
      <w:proofErr w:type="spellStart"/>
      <w:r w:rsidRPr="00B02C3A">
        <w:rPr>
          <w:rFonts w:ascii="Garamond" w:hAnsi="Garamond"/>
          <w:sz w:val="28"/>
        </w:rPr>
        <w:t>S.Ct</w:t>
      </w:r>
      <w:proofErr w:type="spellEnd"/>
      <w:r w:rsidRPr="00B02C3A">
        <w:rPr>
          <w:rFonts w:ascii="Garamond" w:hAnsi="Garamond"/>
          <w:sz w:val="28"/>
        </w:rPr>
        <w:t>. 1146, 117 L.Ed.2d 391 (1992)</w:t>
      </w:r>
      <w:r>
        <w:rPr>
          <w:rFonts w:ascii="Garamond" w:hAnsi="Garamond"/>
          <w:sz w:val="28"/>
        </w:rPr>
        <w:tab/>
        <w:t>14</w:t>
      </w:r>
    </w:p>
    <w:p w:rsidR="00607BFE" w:rsidRPr="009C2E1D" w:rsidRDefault="00607BFE" w:rsidP="00607BFE">
      <w:pPr>
        <w:tabs>
          <w:tab w:val="right" w:leader="dot" w:pos="9000"/>
        </w:tabs>
        <w:rPr>
          <w:rFonts w:ascii="Garamond" w:hAnsi="Garamond"/>
          <w:sz w:val="28"/>
          <w:szCs w:val="28"/>
        </w:rPr>
      </w:pPr>
    </w:p>
    <w:p w:rsidR="00607BFE" w:rsidRDefault="00607BFE" w:rsidP="00607BFE">
      <w:pPr>
        <w:tabs>
          <w:tab w:val="right" w:leader="dot" w:pos="9000"/>
        </w:tabs>
        <w:ind w:left="720" w:hanging="720"/>
        <w:rPr>
          <w:rFonts w:ascii="Garamond" w:hAnsi="Garamond"/>
          <w:sz w:val="28"/>
        </w:rPr>
      </w:pPr>
      <w:proofErr w:type="gramStart"/>
      <w:r w:rsidRPr="002D7985">
        <w:rPr>
          <w:rFonts w:ascii="Garamond" w:hAnsi="Garamond"/>
          <w:i/>
          <w:sz w:val="28"/>
        </w:rPr>
        <w:t>Hartford Underwriters Ins. Co. v. Union Planters Bank, N.A.</w:t>
      </w:r>
      <w:r w:rsidRPr="002D7985">
        <w:rPr>
          <w:rFonts w:ascii="Garamond" w:hAnsi="Garamond"/>
          <w:sz w:val="28"/>
        </w:rPr>
        <w:t>,</w:t>
      </w:r>
      <w:proofErr w:type="gramEnd"/>
      <w:r w:rsidRPr="002D7985">
        <w:rPr>
          <w:rFonts w:ascii="Garamond" w:hAnsi="Garamond"/>
          <w:sz w:val="28"/>
        </w:rPr>
        <w:t xml:space="preserve"> </w:t>
      </w:r>
    </w:p>
    <w:p w:rsidR="00607BFE" w:rsidRDefault="00607BFE" w:rsidP="00607BFE">
      <w:pPr>
        <w:tabs>
          <w:tab w:val="right" w:leader="dot" w:pos="9000"/>
        </w:tabs>
        <w:ind w:left="720" w:hanging="720"/>
        <w:rPr>
          <w:rFonts w:ascii="Garamond" w:hAnsi="Garamond"/>
          <w:sz w:val="28"/>
          <w:szCs w:val="28"/>
        </w:rPr>
      </w:pPr>
      <w:r>
        <w:rPr>
          <w:rFonts w:ascii="Garamond" w:hAnsi="Garamond"/>
          <w:i/>
          <w:sz w:val="28"/>
        </w:rPr>
        <w:tab/>
      </w:r>
      <w:r>
        <w:rPr>
          <w:rFonts w:ascii="Garamond" w:hAnsi="Garamond"/>
          <w:sz w:val="28"/>
        </w:rPr>
        <w:t>530 U.S. 1</w:t>
      </w:r>
      <w:r w:rsidRPr="002D7985">
        <w:rPr>
          <w:rFonts w:ascii="Garamond" w:hAnsi="Garamond"/>
          <w:sz w:val="28"/>
        </w:rPr>
        <w:t xml:space="preserve"> (2000)</w:t>
      </w:r>
      <w:r w:rsidRPr="009C2E1D">
        <w:rPr>
          <w:rFonts w:ascii="Garamond" w:hAnsi="Garamond"/>
          <w:sz w:val="28"/>
          <w:szCs w:val="28"/>
        </w:rPr>
        <w:tab/>
      </w:r>
      <w:r>
        <w:rPr>
          <w:rFonts w:ascii="Garamond" w:hAnsi="Garamond"/>
          <w:sz w:val="28"/>
          <w:szCs w:val="28"/>
        </w:rPr>
        <w:t>6</w:t>
      </w:r>
    </w:p>
    <w:p w:rsidR="00607BFE" w:rsidRDefault="00607BFE" w:rsidP="00607BFE">
      <w:pPr>
        <w:tabs>
          <w:tab w:val="right" w:leader="dot" w:pos="9000"/>
        </w:tabs>
        <w:ind w:left="720" w:hanging="720"/>
        <w:rPr>
          <w:rFonts w:ascii="Garamond" w:hAnsi="Garamond"/>
          <w:sz w:val="28"/>
          <w:szCs w:val="28"/>
        </w:rPr>
      </w:pPr>
    </w:p>
    <w:p w:rsidR="00607BFE" w:rsidRDefault="00607BFE" w:rsidP="00607BFE">
      <w:pPr>
        <w:tabs>
          <w:tab w:val="right" w:leader="dot" w:pos="9000"/>
        </w:tabs>
        <w:ind w:left="720" w:hanging="720"/>
        <w:rPr>
          <w:rFonts w:ascii="Garamond" w:hAnsi="Garamond"/>
          <w:sz w:val="28"/>
        </w:rPr>
      </w:pPr>
      <w:r w:rsidRPr="002D7985">
        <w:rPr>
          <w:rFonts w:ascii="Garamond" w:hAnsi="Garamond"/>
          <w:i/>
          <w:sz w:val="28"/>
        </w:rPr>
        <w:t xml:space="preserve">In re </w:t>
      </w:r>
      <w:proofErr w:type="spellStart"/>
      <w:r w:rsidRPr="002D7985">
        <w:rPr>
          <w:rFonts w:ascii="Garamond" w:hAnsi="Garamond"/>
          <w:i/>
          <w:sz w:val="28"/>
        </w:rPr>
        <w:t>Gbadebo</w:t>
      </w:r>
      <w:proofErr w:type="spellEnd"/>
      <w:r w:rsidRPr="002D7985">
        <w:rPr>
          <w:rFonts w:ascii="Garamond" w:hAnsi="Garamond"/>
          <w:sz w:val="28"/>
        </w:rPr>
        <w:t xml:space="preserve">, </w:t>
      </w:r>
    </w:p>
    <w:p w:rsidR="00607BFE" w:rsidRDefault="00607BFE" w:rsidP="00607BFE">
      <w:pPr>
        <w:tabs>
          <w:tab w:val="right" w:leader="dot" w:pos="9000"/>
        </w:tabs>
        <w:ind w:left="720" w:hanging="720"/>
        <w:rPr>
          <w:rFonts w:ascii="Garamond" w:hAnsi="Garamond"/>
          <w:sz w:val="28"/>
        </w:rPr>
      </w:pPr>
      <w:r>
        <w:rPr>
          <w:rFonts w:ascii="Garamond" w:hAnsi="Garamond"/>
          <w:i/>
          <w:sz w:val="28"/>
        </w:rPr>
        <w:tab/>
      </w:r>
      <w:proofErr w:type="gramStart"/>
      <w:r w:rsidRPr="002D7985">
        <w:rPr>
          <w:rFonts w:ascii="Garamond" w:hAnsi="Garamond"/>
          <w:sz w:val="28"/>
        </w:rPr>
        <w:t>341 B</w:t>
      </w:r>
      <w:r>
        <w:rPr>
          <w:rFonts w:ascii="Garamond" w:hAnsi="Garamond"/>
          <w:sz w:val="28"/>
        </w:rPr>
        <w:t>.R. 222 (</w:t>
      </w:r>
      <w:proofErr w:type="spellStart"/>
      <w:r>
        <w:rPr>
          <w:rFonts w:ascii="Garamond" w:hAnsi="Garamond"/>
          <w:sz w:val="28"/>
        </w:rPr>
        <w:t>Bankr</w:t>
      </w:r>
      <w:proofErr w:type="spellEnd"/>
      <w:r>
        <w:rPr>
          <w:rFonts w:ascii="Garamond" w:hAnsi="Garamond"/>
          <w:sz w:val="28"/>
        </w:rPr>
        <w:t>.</w:t>
      </w:r>
      <w:proofErr w:type="gramEnd"/>
      <w:r>
        <w:rPr>
          <w:rFonts w:ascii="Garamond" w:hAnsi="Garamond"/>
          <w:sz w:val="28"/>
        </w:rPr>
        <w:t xml:space="preserve"> N.D. Cal. 2010)</w:t>
      </w:r>
      <w:r>
        <w:rPr>
          <w:rFonts w:ascii="Garamond" w:hAnsi="Garamond"/>
          <w:sz w:val="28"/>
        </w:rPr>
        <w:tab/>
        <w:t>7, 8, 9, 14</w:t>
      </w:r>
    </w:p>
    <w:p w:rsidR="00607BFE" w:rsidRDefault="00607BFE" w:rsidP="00607BFE">
      <w:pPr>
        <w:tabs>
          <w:tab w:val="right" w:leader="dot" w:pos="9000"/>
        </w:tabs>
        <w:ind w:left="720" w:hanging="720"/>
        <w:rPr>
          <w:rFonts w:ascii="Garamond" w:hAnsi="Garamond"/>
          <w:sz w:val="28"/>
        </w:rPr>
      </w:pPr>
    </w:p>
    <w:p w:rsidR="00607BFE" w:rsidRDefault="00607BFE" w:rsidP="00607BFE">
      <w:pPr>
        <w:tabs>
          <w:tab w:val="right" w:leader="dot" w:pos="9000"/>
        </w:tabs>
        <w:ind w:left="720" w:hanging="720"/>
        <w:rPr>
          <w:rFonts w:ascii="Garamond" w:hAnsi="Garamond"/>
          <w:sz w:val="28"/>
        </w:rPr>
      </w:pPr>
      <w:r w:rsidRPr="005B16AE">
        <w:rPr>
          <w:rFonts w:ascii="Garamond" w:hAnsi="Garamond"/>
          <w:i/>
          <w:sz w:val="28"/>
        </w:rPr>
        <w:t xml:space="preserve">In re </w:t>
      </w:r>
      <w:proofErr w:type="spellStart"/>
      <w:r w:rsidRPr="005B16AE">
        <w:rPr>
          <w:rFonts w:ascii="Garamond" w:hAnsi="Garamond"/>
          <w:i/>
          <w:sz w:val="28"/>
        </w:rPr>
        <w:t>Gelin</w:t>
      </w:r>
      <w:proofErr w:type="spellEnd"/>
      <w:r>
        <w:rPr>
          <w:rFonts w:ascii="Garamond" w:hAnsi="Garamond"/>
          <w:sz w:val="28"/>
        </w:rPr>
        <w:t xml:space="preserve">, </w:t>
      </w:r>
    </w:p>
    <w:p w:rsidR="00607BFE" w:rsidRPr="009C2E1D" w:rsidRDefault="00607BFE" w:rsidP="00607BFE">
      <w:pPr>
        <w:tabs>
          <w:tab w:val="right" w:leader="dot" w:pos="9000"/>
        </w:tabs>
        <w:ind w:left="720" w:hanging="720"/>
        <w:rPr>
          <w:rFonts w:ascii="Garamond" w:hAnsi="Garamond"/>
          <w:sz w:val="28"/>
          <w:szCs w:val="28"/>
        </w:rPr>
      </w:pPr>
      <w:r>
        <w:rPr>
          <w:rFonts w:ascii="Garamond" w:hAnsi="Garamond"/>
          <w:i/>
          <w:sz w:val="28"/>
        </w:rPr>
        <w:tab/>
      </w:r>
      <w:proofErr w:type="gramStart"/>
      <w:r>
        <w:rPr>
          <w:rFonts w:ascii="Garamond" w:hAnsi="Garamond"/>
          <w:sz w:val="28"/>
        </w:rPr>
        <w:t>437 B.R. 435 (</w:t>
      </w:r>
      <w:proofErr w:type="spellStart"/>
      <w:r>
        <w:rPr>
          <w:rFonts w:ascii="Garamond" w:hAnsi="Garamond"/>
          <w:sz w:val="28"/>
        </w:rPr>
        <w:t>Bankr</w:t>
      </w:r>
      <w:proofErr w:type="spellEnd"/>
      <w:r>
        <w:rPr>
          <w:rFonts w:ascii="Garamond" w:hAnsi="Garamond"/>
          <w:sz w:val="28"/>
        </w:rPr>
        <w:t>.</w:t>
      </w:r>
      <w:proofErr w:type="gramEnd"/>
      <w:r>
        <w:rPr>
          <w:rFonts w:ascii="Garamond" w:hAnsi="Garamond"/>
          <w:sz w:val="28"/>
        </w:rPr>
        <w:t xml:space="preserve"> M.D. Fla. 2010)</w:t>
      </w:r>
      <w:r>
        <w:rPr>
          <w:rFonts w:ascii="Garamond" w:hAnsi="Garamond"/>
          <w:sz w:val="28"/>
        </w:rPr>
        <w:tab/>
        <w:t>11</w:t>
      </w:r>
    </w:p>
    <w:p w:rsidR="00607BFE" w:rsidRDefault="00607BFE" w:rsidP="00607BFE">
      <w:pPr>
        <w:tabs>
          <w:tab w:val="right" w:leader="dot" w:pos="9000"/>
        </w:tabs>
        <w:rPr>
          <w:rFonts w:ascii="Garamond" w:hAnsi="Garamond"/>
          <w:sz w:val="28"/>
          <w:szCs w:val="28"/>
        </w:rPr>
      </w:pPr>
    </w:p>
    <w:p w:rsidR="00607BFE" w:rsidRDefault="00607BFE" w:rsidP="00607BFE">
      <w:pPr>
        <w:tabs>
          <w:tab w:val="right" w:leader="dot" w:pos="9000"/>
        </w:tabs>
        <w:ind w:left="720" w:hanging="720"/>
        <w:rPr>
          <w:rFonts w:ascii="Garamond" w:hAnsi="Garamond"/>
          <w:sz w:val="28"/>
        </w:rPr>
      </w:pPr>
      <w:r w:rsidRPr="005B16AE">
        <w:rPr>
          <w:rFonts w:ascii="Garamond" w:hAnsi="Garamond"/>
          <w:i/>
          <w:sz w:val="28"/>
        </w:rPr>
        <w:t xml:space="preserve">In re </w:t>
      </w:r>
      <w:proofErr w:type="spellStart"/>
      <w:r w:rsidRPr="005B16AE">
        <w:rPr>
          <w:rFonts w:ascii="Garamond" w:hAnsi="Garamond"/>
          <w:i/>
          <w:sz w:val="28"/>
        </w:rPr>
        <w:t>Kamell</w:t>
      </w:r>
      <w:proofErr w:type="spellEnd"/>
      <w:r>
        <w:rPr>
          <w:rFonts w:ascii="Garamond" w:hAnsi="Garamond"/>
          <w:sz w:val="28"/>
        </w:rPr>
        <w:t xml:space="preserve">, </w:t>
      </w:r>
    </w:p>
    <w:p w:rsidR="00607BFE" w:rsidRDefault="00607BFE" w:rsidP="00607BFE">
      <w:pPr>
        <w:tabs>
          <w:tab w:val="right" w:leader="dot" w:pos="9000"/>
        </w:tabs>
        <w:ind w:left="720" w:hanging="720"/>
        <w:rPr>
          <w:rFonts w:ascii="Garamond" w:hAnsi="Garamond"/>
          <w:sz w:val="28"/>
        </w:rPr>
      </w:pPr>
      <w:r>
        <w:rPr>
          <w:rFonts w:ascii="Garamond" w:hAnsi="Garamond"/>
          <w:i/>
          <w:sz w:val="28"/>
        </w:rPr>
        <w:tab/>
      </w:r>
      <w:proofErr w:type="gramStart"/>
      <w:r>
        <w:rPr>
          <w:rFonts w:ascii="Garamond" w:hAnsi="Garamond"/>
          <w:sz w:val="28"/>
        </w:rPr>
        <w:t>2011 WL 1760282 (</w:t>
      </w:r>
      <w:proofErr w:type="spellStart"/>
      <w:r>
        <w:rPr>
          <w:rFonts w:ascii="Garamond" w:hAnsi="Garamond"/>
          <w:sz w:val="28"/>
        </w:rPr>
        <w:t>Bankr</w:t>
      </w:r>
      <w:proofErr w:type="spellEnd"/>
      <w:r>
        <w:rPr>
          <w:rFonts w:ascii="Garamond" w:hAnsi="Garamond"/>
          <w:sz w:val="28"/>
        </w:rPr>
        <w:t>.</w:t>
      </w:r>
      <w:proofErr w:type="gramEnd"/>
      <w:r>
        <w:rPr>
          <w:rFonts w:ascii="Garamond" w:hAnsi="Garamond"/>
          <w:sz w:val="28"/>
        </w:rPr>
        <w:t xml:space="preserve"> C.D. Cal. May 4, 2011)</w:t>
      </w:r>
      <w:r>
        <w:rPr>
          <w:rFonts w:ascii="Garamond" w:hAnsi="Garamond"/>
          <w:sz w:val="28"/>
        </w:rPr>
        <w:tab/>
        <w:t>7</w:t>
      </w:r>
    </w:p>
    <w:p w:rsidR="00607BFE" w:rsidRDefault="00607BFE" w:rsidP="00607BFE">
      <w:pPr>
        <w:tabs>
          <w:tab w:val="right" w:leader="dot" w:pos="9000"/>
        </w:tabs>
        <w:ind w:left="720" w:hanging="720"/>
        <w:rPr>
          <w:rFonts w:ascii="Garamond" w:hAnsi="Garamond"/>
          <w:sz w:val="28"/>
        </w:rPr>
      </w:pPr>
    </w:p>
    <w:p w:rsidR="00607BFE" w:rsidRDefault="00607BFE" w:rsidP="00607BFE">
      <w:pPr>
        <w:tabs>
          <w:tab w:val="right" w:leader="dot" w:pos="9000"/>
        </w:tabs>
        <w:ind w:left="720" w:hanging="720"/>
        <w:rPr>
          <w:rFonts w:ascii="Garamond" w:hAnsi="Garamond"/>
          <w:sz w:val="28"/>
        </w:rPr>
      </w:pPr>
      <w:r w:rsidRPr="00271467">
        <w:rPr>
          <w:rFonts w:ascii="Garamond" w:hAnsi="Garamond"/>
          <w:i/>
          <w:sz w:val="28"/>
        </w:rPr>
        <w:t xml:space="preserve">In re </w:t>
      </w:r>
      <w:proofErr w:type="spellStart"/>
      <w:r w:rsidRPr="00271467">
        <w:rPr>
          <w:rFonts w:ascii="Garamond" w:hAnsi="Garamond"/>
          <w:i/>
          <w:sz w:val="28"/>
        </w:rPr>
        <w:t>Karlovich</w:t>
      </w:r>
      <w:proofErr w:type="spellEnd"/>
      <w:r>
        <w:rPr>
          <w:rFonts w:ascii="Garamond" w:hAnsi="Garamond"/>
          <w:sz w:val="28"/>
        </w:rPr>
        <w:t xml:space="preserve">, </w:t>
      </w:r>
    </w:p>
    <w:p w:rsidR="00607BFE" w:rsidRPr="009C2E1D" w:rsidRDefault="00607BFE" w:rsidP="00607BFE">
      <w:pPr>
        <w:tabs>
          <w:tab w:val="right" w:leader="dot" w:pos="9000"/>
        </w:tabs>
        <w:ind w:left="720" w:hanging="720"/>
        <w:rPr>
          <w:rFonts w:ascii="Garamond" w:hAnsi="Garamond"/>
          <w:sz w:val="28"/>
          <w:szCs w:val="28"/>
        </w:rPr>
      </w:pPr>
      <w:r>
        <w:rPr>
          <w:rFonts w:ascii="Garamond" w:hAnsi="Garamond"/>
          <w:i/>
          <w:sz w:val="28"/>
        </w:rPr>
        <w:tab/>
      </w:r>
      <w:proofErr w:type="gramStart"/>
      <w:r>
        <w:rPr>
          <w:rFonts w:ascii="Garamond" w:hAnsi="Garamond"/>
          <w:sz w:val="28"/>
        </w:rPr>
        <w:t>2010 WL 5418872 (</w:t>
      </w:r>
      <w:proofErr w:type="spellStart"/>
      <w:r>
        <w:rPr>
          <w:rFonts w:ascii="Garamond" w:hAnsi="Garamond"/>
          <w:sz w:val="28"/>
        </w:rPr>
        <w:t>Bankr</w:t>
      </w:r>
      <w:proofErr w:type="spellEnd"/>
      <w:r>
        <w:rPr>
          <w:rFonts w:ascii="Garamond" w:hAnsi="Garamond"/>
          <w:sz w:val="28"/>
        </w:rPr>
        <w:t>.</w:t>
      </w:r>
      <w:proofErr w:type="gramEnd"/>
      <w:r>
        <w:rPr>
          <w:rFonts w:ascii="Garamond" w:hAnsi="Garamond"/>
          <w:sz w:val="28"/>
        </w:rPr>
        <w:t xml:space="preserve"> S.D. Cal. Nov. 16, 2010)</w:t>
      </w:r>
      <w:r>
        <w:rPr>
          <w:rFonts w:ascii="Garamond" w:hAnsi="Garamond"/>
          <w:sz w:val="28"/>
        </w:rPr>
        <w:tab/>
        <w:t>10</w:t>
      </w:r>
    </w:p>
    <w:p w:rsidR="00607BFE" w:rsidRPr="009C2E1D" w:rsidRDefault="00607BFE" w:rsidP="00607BFE">
      <w:pPr>
        <w:tabs>
          <w:tab w:val="right" w:leader="dot" w:pos="9000"/>
        </w:tabs>
        <w:ind w:left="720" w:hanging="720"/>
        <w:rPr>
          <w:rFonts w:ascii="Garamond" w:hAnsi="Garamond"/>
          <w:sz w:val="28"/>
          <w:szCs w:val="28"/>
        </w:rPr>
      </w:pPr>
    </w:p>
    <w:p w:rsidR="00607BFE" w:rsidRPr="009C2E1D" w:rsidRDefault="00607BFE" w:rsidP="00607BFE">
      <w:pPr>
        <w:tabs>
          <w:tab w:val="right" w:leader="dot" w:pos="9000"/>
        </w:tabs>
        <w:ind w:left="720" w:hanging="720"/>
        <w:rPr>
          <w:rFonts w:ascii="Garamond" w:hAnsi="Garamond"/>
          <w:sz w:val="28"/>
          <w:szCs w:val="28"/>
        </w:rPr>
      </w:pPr>
      <w:proofErr w:type="spellStart"/>
      <w:r w:rsidRPr="009C2E1D">
        <w:rPr>
          <w:rFonts w:ascii="Garamond" w:hAnsi="Garamond"/>
          <w:i/>
          <w:sz w:val="28"/>
          <w:szCs w:val="28"/>
        </w:rPr>
        <w:t>Kawaauhau</w:t>
      </w:r>
      <w:proofErr w:type="spellEnd"/>
      <w:r w:rsidRPr="009C2E1D">
        <w:rPr>
          <w:rFonts w:ascii="Garamond" w:hAnsi="Garamond"/>
          <w:i/>
          <w:sz w:val="28"/>
          <w:szCs w:val="28"/>
        </w:rPr>
        <w:t xml:space="preserve"> v.</w:t>
      </w:r>
      <w:r w:rsidRPr="009C2E1D">
        <w:rPr>
          <w:rFonts w:ascii="Garamond" w:hAnsi="Garamond"/>
          <w:sz w:val="28"/>
          <w:szCs w:val="28"/>
        </w:rPr>
        <w:t xml:space="preserve"> </w:t>
      </w:r>
      <w:r w:rsidRPr="009C2E1D">
        <w:rPr>
          <w:rFonts w:ascii="Garamond" w:hAnsi="Garamond"/>
          <w:i/>
          <w:sz w:val="28"/>
          <w:szCs w:val="28"/>
        </w:rPr>
        <w:t>Geiger</w:t>
      </w:r>
      <w:r w:rsidRPr="009C2E1D">
        <w:rPr>
          <w:rFonts w:ascii="Garamond" w:hAnsi="Garamond"/>
          <w:sz w:val="28"/>
          <w:szCs w:val="28"/>
        </w:rPr>
        <w:t xml:space="preserve">, </w:t>
      </w:r>
    </w:p>
    <w:p w:rsidR="00607BFE" w:rsidRDefault="00607BFE" w:rsidP="00607BFE">
      <w:pPr>
        <w:tabs>
          <w:tab w:val="right" w:leader="dot" w:pos="9000"/>
        </w:tabs>
        <w:ind w:left="720" w:hanging="720"/>
        <w:rPr>
          <w:rFonts w:ascii="Garamond" w:hAnsi="Garamond"/>
          <w:sz w:val="28"/>
          <w:szCs w:val="28"/>
        </w:rPr>
      </w:pPr>
      <w:r w:rsidRPr="009C2E1D">
        <w:rPr>
          <w:rFonts w:ascii="Garamond" w:hAnsi="Garamond"/>
          <w:i/>
          <w:sz w:val="28"/>
          <w:szCs w:val="28"/>
        </w:rPr>
        <w:tab/>
      </w:r>
      <w:r w:rsidRPr="009C2E1D">
        <w:rPr>
          <w:rFonts w:ascii="Garamond" w:hAnsi="Garamond"/>
          <w:sz w:val="28"/>
          <w:szCs w:val="28"/>
        </w:rPr>
        <w:t>523 U.S. 57 (1998)</w:t>
      </w:r>
      <w:r w:rsidRPr="009C2E1D">
        <w:rPr>
          <w:rFonts w:ascii="Garamond" w:hAnsi="Garamond"/>
          <w:sz w:val="28"/>
          <w:szCs w:val="28"/>
        </w:rPr>
        <w:tab/>
      </w:r>
      <w:r>
        <w:rPr>
          <w:rFonts w:ascii="Garamond" w:hAnsi="Garamond"/>
          <w:sz w:val="28"/>
          <w:szCs w:val="28"/>
        </w:rPr>
        <w:t>1</w:t>
      </w:r>
    </w:p>
    <w:p w:rsidR="00607BFE" w:rsidRDefault="00607BFE" w:rsidP="00607BFE">
      <w:pPr>
        <w:tabs>
          <w:tab w:val="right" w:leader="dot" w:pos="9000"/>
        </w:tabs>
        <w:ind w:left="720" w:hanging="720"/>
        <w:rPr>
          <w:rFonts w:ascii="Garamond" w:hAnsi="Garamond"/>
          <w:sz w:val="28"/>
          <w:szCs w:val="28"/>
        </w:rPr>
      </w:pPr>
    </w:p>
    <w:p w:rsidR="00607BFE" w:rsidRDefault="00607BFE" w:rsidP="00607BFE">
      <w:pPr>
        <w:tabs>
          <w:tab w:val="right" w:leader="dot" w:pos="9000"/>
        </w:tabs>
        <w:ind w:left="720" w:hanging="720"/>
        <w:rPr>
          <w:rFonts w:ascii="Garamond" w:hAnsi="Garamond"/>
          <w:sz w:val="28"/>
        </w:rPr>
      </w:pPr>
      <w:proofErr w:type="spellStart"/>
      <w:r w:rsidRPr="002D7985">
        <w:rPr>
          <w:rFonts w:ascii="Garamond" w:hAnsi="Garamond"/>
          <w:i/>
          <w:sz w:val="28"/>
        </w:rPr>
        <w:t>Kokoszka</w:t>
      </w:r>
      <w:proofErr w:type="spellEnd"/>
      <w:r w:rsidRPr="002D7985">
        <w:rPr>
          <w:rFonts w:ascii="Garamond" w:hAnsi="Garamond"/>
          <w:i/>
          <w:sz w:val="28"/>
        </w:rPr>
        <w:t xml:space="preserve"> v. Belford</w:t>
      </w:r>
      <w:r>
        <w:rPr>
          <w:rFonts w:ascii="Garamond" w:hAnsi="Garamond"/>
          <w:sz w:val="28"/>
        </w:rPr>
        <w:t>,</w:t>
      </w:r>
    </w:p>
    <w:p w:rsidR="00607BFE" w:rsidRDefault="00607BFE" w:rsidP="00607BFE">
      <w:pPr>
        <w:tabs>
          <w:tab w:val="right" w:leader="dot" w:pos="9000"/>
        </w:tabs>
        <w:ind w:left="720" w:hanging="720"/>
        <w:rPr>
          <w:rFonts w:ascii="Garamond" w:hAnsi="Garamond"/>
          <w:sz w:val="28"/>
        </w:rPr>
      </w:pPr>
      <w:r>
        <w:rPr>
          <w:rFonts w:ascii="Garamond" w:hAnsi="Garamond"/>
          <w:i/>
          <w:sz w:val="28"/>
        </w:rPr>
        <w:tab/>
      </w:r>
      <w:r>
        <w:rPr>
          <w:rFonts w:ascii="Garamond" w:hAnsi="Garamond"/>
          <w:sz w:val="28"/>
        </w:rPr>
        <w:t>417 U.S. 642, 645 (1974)</w:t>
      </w:r>
      <w:r>
        <w:rPr>
          <w:rFonts w:ascii="Garamond" w:hAnsi="Garamond"/>
          <w:sz w:val="28"/>
        </w:rPr>
        <w:tab/>
        <w:t>3</w:t>
      </w:r>
    </w:p>
    <w:p w:rsidR="00607BFE" w:rsidRDefault="00607BFE" w:rsidP="00607BFE">
      <w:pPr>
        <w:tabs>
          <w:tab w:val="right" w:leader="dot" w:pos="9000"/>
        </w:tabs>
        <w:ind w:left="720" w:hanging="720"/>
        <w:rPr>
          <w:rFonts w:ascii="Garamond" w:hAnsi="Garamond"/>
          <w:sz w:val="28"/>
        </w:rPr>
      </w:pPr>
    </w:p>
    <w:p w:rsidR="00607BFE" w:rsidRDefault="00607BFE" w:rsidP="00607BFE">
      <w:pPr>
        <w:tabs>
          <w:tab w:val="right" w:leader="dot" w:pos="9000"/>
        </w:tabs>
        <w:ind w:left="720" w:hanging="720"/>
        <w:rPr>
          <w:rFonts w:ascii="Garamond" w:hAnsi="Garamond"/>
          <w:sz w:val="28"/>
        </w:rPr>
      </w:pPr>
      <w:proofErr w:type="spellStart"/>
      <w:r w:rsidRPr="002D7985">
        <w:rPr>
          <w:rFonts w:ascii="Garamond" w:hAnsi="Garamond"/>
          <w:i/>
          <w:sz w:val="28"/>
        </w:rPr>
        <w:t>Lamie</w:t>
      </w:r>
      <w:proofErr w:type="spellEnd"/>
      <w:r w:rsidRPr="002D7985">
        <w:rPr>
          <w:rFonts w:ascii="Garamond" w:hAnsi="Garamond"/>
          <w:i/>
          <w:sz w:val="28"/>
        </w:rPr>
        <w:t xml:space="preserve"> v. U.S. Trustee</w:t>
      </w:r>
      <w:r w:rsidRPr="002D7985">
        <w:rPr>
          <w:rFonts w:ascii="Garamond" w:hAnsi="Garamond"/>
          <w:sz w:val="28"/>
        </w:rPr>
        <w:t xml:space="preserve">, </w:t>
      </w:r>
    </w:p>
    <w:p w:rsidR="00607BFE" w:rsidRDefault="00607BFE" w:rsidP="00607BFE">
      <w:pPr>
        <w:tabs>
          <w:tab w:val="right" w:leader="dot" w:pos="9000"/>
        </w:tabs>
        <w:ind w:left="720" w:hanging="720"/>
        <w:rPr>
          <w:rFonts w:ascii="Garamond" w:hAnsi="Garamond"/>
          <w:sz w:val="28"/>
        </w:rPr>
      </w:pPr>
      <w:r>
        <w:rPr>
          <w:rFonts w:ascii="Garamond" w:hAnsi="Garamond"/>
          <w:i/>
          <w:sz w:val="28"/>
        </w:rPr>
        <w:tab/>
      </w:r>
      <w:r>
        <w:rPr>
          <w:rFonts w:ascii="Garamond" w:hAnsi="Garamond"/>
          <w:sz w:val="28"/>
        </w:rPr>
        <w:t xml:space="preserve">540 U.S. 526, 124 </w:t>
      </w:r>
      <w:proofErr w:type="spellStart"/>
      <w:r>
        <w:rPr>
          <w:rFonts w:ascii="Garamond" w:hAnsi="Garamond"/>
          <w:sz w:val="28"/>
        </w:rPr>
        <w:t>S.Ct</w:t>
      </w:r>
      <w:proofErr w:type="spellEnd"/>
      <w:r>
        <w:rPr>
          <w:rFonts w:ascii="Garamond" w:hAnsi="Garamond"/>
          <w:sz w:val="28"/>
        </w:rPr>
        <w:t>. 1023 (2004)</w:t>
      </w:r>
      <w:r>
        <w:rPr>
          <w:rFonts w:ascii="Garamond" w:hAnsi="Garamond"/>
          <w:sz w:val="28"/>
        </w:rPr>
        <w:tab/>
        <w:t>6</w:t>
      </w:r>
    </w:p>
    <w:p w:rsidR="00607BFE" w:rsidRDefault="00607BFE" w:rsidP="00607BFE">
      <w:pPr>
        <w:tabs>
          <w:tab w:val="right" w:leader="dot" w:pos="9000"/>
        </w:tabs>
        <w:ind w:left="720" w:hanging="720"/>
        <w:rPr>
          <w:rFonts w:ascii="Garamond" w:hAnsi="Garamond"/>
          <w:sz w:val="28"/>
        </w:rPr>
      </w:pPr>
      <w:r w:rsidRPr="005B16AE">
        <w:rPr>
          <w:rFonts w:ascii="Garamond" w:hAnsi="Garamond"/>
          <w:i/>
          <w:sz w:val="28"/>
        </w:rPr>
        <w:t xml:space="preserve">In re </w:t>
      </w:r>
      <w:proofErr w:type="spellStart"/>
      <w:r w:rsidRPr="005B16AE">
        <w:rPr>
          <w:rFonts w:ascii="Garamond" w:hAnsi="Garamond"/>
          <w:i/>
          <w:sz w:val="28"/>
        </w:rPr>
        <w:t>Maharaj</w:t>
      </w:r>
      <w:proofErr w:type="spellEnd"/>
      <w:r>
        <w:rPr>
          <w:rFonts w:ascii="Garamond" w:hAnsi="Garamond"/>
          <w:sz w:val="28"/>
        </w:rPr>
        <w:t xml:space="preserve">, </w:t>
      </w:r>
    </w:p>
    <w:p w:rsidR="00607BFE" w:rsidRPr="009C2E1D" w:rsidRDefault="00607BFE" w:rsidP="00607BFE">
      <w:pPr>
        <w:tabs>
          <w:tab w:val="right" w:leader="dot" w:pos="9000"/>
        </w:tabs>
        <w:ind w:left="720" w:hanging="720"/>
        <w:rPr>
          <w:rFonts w:ascii="Garamond" w:hAnsi="Garamond"/>
          <w:sz w:val="28"/>
          <w:szCs w:val="28"/>
        </w:rPr>
      </w:pPr>
      <w:r>
        <w:rPr>
          <w:rFonts w:ascii="Garamond" w:hAnsi="Garamond"/>
          <w:i/>
          <w:sz w:val="28"/>
        </w:rPr>
        <w:tab/>
      </w:r>
      <w:proofErr w:type="gramStart"/>
      <w:r>
        <w:rPr>
          <w:rFonts w:ascii="Garamond" w:hAnsi="Garamond"/>
          <w:sz w:val="28"/>
        </w:rPr>
        <w:t>2011 WL 1753795 (</w:t>
      </w:r>
      <w:proofErr w:type="spellStart"/>
      <w:r>
        <w:rPr>
          <w:rFonts w:ascii="Garamond" w:hAnsi="Garamond"/>
          <w:sz w:val="28"/>
        </w:rPr>
        <w:t>Bankr</w:t>
      </w:r>
      <w:proofErr w:type="spellEnd"/>
      <w:r>
        <w:rPr>
          <w:rFonts w:ascii="Garamond" w:hAnsi="Garamond"/>
          <w:sz w:val="28"/>
        </w:rPr>
        <w:t>.</w:t>
      </w:r>
      <w:proofErr w:type="gramEnd"/>
      <w:r>
        <w:rPr>
          <w:rFonts w:ascii="Garamond" w:hAnsi="Garamond"/>
          <w:sz w:val="28"/>
        </w:rPr>
        <w:t xml:space="preserve"> E.D. Va. May 9, 2011)</w:t>
      </w:r>
      <w:r>
        <w:rPr>
          <w:rFonts w:ascii="Garamond" w:hAnsi="Garamond"/>
          <w:sz w:val="28"/>
        </w:rPr>
        <w:tab/>
        <w:t>7, 10</w:t>
      </w:r>
    </w:p>
    <w:p w:rsidR="00607BFE" w:rsidRPr="009C2E1D" w:rsidRDefault="00607BFE" w:rsidP="00607BFE">
      <w:pPr>
        <w:tabs>
          <w:tab w:val="right" w:leader="dot" w:pos="9000"/>
        </w:tabs>
        <w:ind w:left="720" w:hanging="720"/>
        <w:rPr>
          <w:rFonts w:ascii="Garamond" w:hAnsi="Garamond"/>
          <w:sz w:val="28"/>
          <w:szCs w:val="28"/>
        </w:rPr>
      </w:pPr>
    </w:p>
    <w:p w:rsidR="00607BFE" w:rsidRDefault="00607BFE" w:rsidP="00607BFE">
      <w:pPr>
        <w:tabs>
          <w:tab w:val="right" w:leader="dot" w:pos="9000"/>
        </w:tabs>
        <w:ind w:left="720" w:hanging="720"/>
        <w:rPr>
          <w:rFonts w:ascii="Garamond" w:hAnsi="Garamond"/>
          <w:sz w:val="28"/>
        </w:rPr>
      </w:pPr>
      <w:proofErr w:type="spellStart"/>
      <w:proofErr w:type="gramStart"/>
      <w:r w:rsidRPr="002D7985">
        <w:rPr>
          <w:rFonts w:ascii="Garamond" w:hAnsi="Garamond"/>
          <w:i/>
          <w:sz w:val="28"/>
        </w:rPr>
        <w:t>Marrama</w:t>
      </w:r>
      <w:proofErr w:type="spellEnd"/>
      <w:r w:rsidRPr="002D7985">
        <w:rPr>
          <w:rFonts w:ascii="Garamond" w:hAnsi="Garamond"/>
          <w:i/>
          <w:sz w:val="28"/>
        </w:rPr>
        <w:t xml:space="preserve"> v. Citizens Bank of Mass</w:t>
      </w:r>
      <w:r w:rsidRPr="002D7985">
        <w:rPr>
          <w:rFonts w:ascii="Garamond" w:hAnsi="Garamond"/>
          <w:sz w:val="28"/>
        </w:rPr>
        <w:t>.,</w:t>
      </w:r>
      <w:proofErr w:type="gramEnd"/>
      <w:r w:rsidRPr="002D7985">
        <w:rPr>
          <w:rFonts w:ascii="Garamond" w:hAnsi="Garamond"/>
          <w:sz w:val="28"/>
        </w:rPr>
        <w:t xml:space="preserve"> </w:t>
      </w:r>
    </w:p>
    <w:p w:rsidR="00607BFE" w:rsidRDefault="00607BFE" w:rsidP="00607BFE">
      <w:pPr>
        <w:tabs>
          <w:tab w:val="right" w:leader="dot" w:pos="9000"/>
        </w:tabs>
        <w:ind w:left="720" w:hanging="720"/>
        <w:rPr>
          <w:rFonts w:ascii="Garamond" w:hAnsi="Garamond"/>
          <w:sz w:val="28"/>
          <w:szCs w:val="28"/>
        </w:rPr>
      </w:pPr>
      <w:r>
        <w:rPr>
          <w:rFonts w:ascii="Garamond" w:hAnsi="Garamond"/>
          <w:i/>
          <w:sz w:val="28"/>
        </w:rPr>
        <w:tab/>
      </w:r>
      <w:r>
        <w:rPr>
          <w:rFonts w:ascii="Garamond" w:hAnsi="Garamond"/>
          <w:sz w:val="28"/>
        </w:rPr>
        <w:t xml:space="preserve">549 U.S. 365 </w:t>
      </w:r>
      <w:r w:rsidRPr="002D7985">
        <w:rPr>
          <w:rFonts w:ascii="Garamond" w:hAnsi="Garamond"/>
          <w:sz w:val="28"/>
        </w:rPr>
        <w:t>(2007)</w:t>
      </w:r>
      <w:r w:rsidRPr="009C2E1D">
        <w:rPr>
          <w:rFonts w:ascii="Garamond" w:hAnsi="Garamond"/>
          <w:sz w:val="28"/>
          <w:szCs w:val="28"/>
        </w:rPr>
        <w:tab/>
      </w:r>
      <w:r>
        <w:rPr>
          <w:rFonts w:ascii="Garamond" w:hAnsi="Garamond"/>
          <w:sz w:val="28"/>
          <w:szCs w:val="28"/>
        </w:rPr>
        <w:t>3</w:t>
      </w:r>
    </w:p>
    <w:p w:rsidR="00607BFE" w:rsidRDefault="00607BFE" w:rsidP="00607BFE">
      <w:pPr>
        <w:tabs>
          <w:tab w:val="right" w:leader="dot" w:pos="9000"/>
        </w:tabs>
        <w:ind w:left="720" w:hanging="720"/>
        <w:rPr>
          <w:rFonts w:ascii="Garamond" w:hAnsi="Garamond"/>
          <w:sz w:val="28"/>
          <w:szCs w:val="28"/>
        </w:rPr>
      </w:pPr>
    </w:p>
    <w:p w:rsidR="00607BFE" w:rsidRDefault="00607BFE" w:rsidP="00607BFE">
      <w:pPr>
        <w:tabs>
          <w:tab w:val="right" w:leader="dot" w:pos="9000"/>
        </w:tabs>
        <w:ind w:left="720" w:hanging="720"/>
        <w:rPr>
          <w:rFonts w:ascii="Garamond" w:hAnsi="Garamond"/>
          <w:sz w:val="28"/>
        </w:rPr>
      </w:pPr>
      <w:r w:rsidRPr="00271467">
        <w:rPr>
          <w:rFonts w:ascii="Garamond" w:hAnsi="Garamond"/>
          <w:i/>
          <w:sz w:val="28"/>
        </w:rPr>
        <w:t>In re Mullins</w:t>
      </w:r>
      <w:r>
        <w:rPr>
          <w:rFonts w:ascii="Garamond" w:hAnsi="Garamond"/>
          <w:sz w:val="28"/>
        </w:rPr>
        <w:t xml:space="preserve">, </w:t>
      </w:r>
    </w:p>
    <w:p w:rsidR="00607BFE" w:rsidRDefault="00607BFE" w:rsidP="00607BFE">
      <w:pPr>
        <w:tabs>
          <w:tab w:val="right" w:leader="dot" w:pos="9000"/>
        </w:tabs>
        <w:ind w:left="720" w:hanging="720"/>
        <w:rPr>
          <w:rFonts w:ascii="Garamond" w:hAnsi="Garamond"/>
          <w:sz w:val="28"/>
          <w:szCs w:val="28"/>
        </w:rPr>
      </w:pPr>
      <w:r>
        <w:rPr>
          <w:rFonts w:ascii="Garamond" w:hAnsi="Garamond"/>
          <w:i/>
          <w:sz w:val="28"/>
        </w:rPr>
        <w:tab/>
      </w:r>
      <w:proofErr w:type="gramStart"/>
      <w:r>
        <w:rPr>
          <w:rFonts w:ascii="Garamond" w:hAnsi="Garamond"/>
          <w:sz w:val="28"/>
        </w:rPr>
        <w:t>435 B.R. 352 (</w:t>
      </w:r>
      <w:proofErr w:type="spellStart"/>
      <w:r>
        <w:rPr>
          <w:rFonts w:ascii="Garamond" w:hAnsi="Garamond"/>
          <w:sz w:val="28"/>
        </w:rPr>
        <w:t>Bankr</w:t>
      </w:r>
      <w:proofErr w:type="spellEnd"/>
      <w:r>
        <w:rPr>
          <w:rFonts w:ascii="Garamond" w:hAnsi="Garamond"/>
          <w:sz w:val="28"/>
        </w:rPr>
        <w:t>.</w:t>
      </w:r>
      <w:proofErr w:type="gramEnd"/>
      <w:r>
        <w:rPr>
          <w:rFonts w:ascii="Garamond" w:hAnsi="Garamond"/>
          <w:sz w:val="28"/>
        </w:rPr>
        <w:t xml:space="preserve"> W.D. Va. 2010)</w:t>
      </w:r>
      <w:r>
        <w:rPr>
          <w:rFonts w:ascii="Garamond" w:hAnsi="Garamond"/>
          <w:sz w:val="28"/>
        </w:rPr>
        <w:tab/>
        <w:t>10</w:t>
      </w:r>
    </w:p>
    <w:p w:rsidR="00607BFE" w:rsidRDefault="00607BFE" w:rsidP="00607BFE">
      <w:pPr>
        <w:tabs>
          <w:tab w:val="right" w:leader="dot" w:pos="9000"/>
        </w:tabs>
        <w:ind w:left="720" w:hanging="720"/>
        <w:rPr>
          <w:rFonts w:ascii="Garamond" w:hAnsi="Garamond"/>
          <w:sz w:val="28"/>
          <w:szCs w:val="28"/>
        </w:rPr>
      </w:pPr>
    </w:p>
    <w:p w:rsidR="00607BFE" w:rsidRDefault="00607BFE" w:rsidP="00607BFE">
      <w:pPr>
        <w:tabs>
          <w:tab w:val="right" w:leader="dot" w:pos="9000"/>
        </w:tabs>
        <w:ind w:left="720" w:hanging="720"/>
        <w:rPr>
          <w:rFonts w:ascii="Garamond" w:hAnsi="Garamond"/>
          <w:sz w:val="28"/>
        </w:rPr>
      </w:pPr>
      <w:r w:rsidRPr="002D7985">
        <w:rPr>
          <w:rFonts w:ascii="Garamond" w:hAnsi="Garamond"/>
          <w:i/>
          <w:sz w:val="28"/>
        </w:rPr>
        <w:t xml:space="preserve">Nat. Labor Relations Bd. V. </w:t>
      </w:r>
      <w:proofErr w:type="spellStart"/>
      <w:r w:rsidRPr="002D7985">
        <w:rPr>
          <w:rFonts w:ascii="Garamond" w:hAnsi="Garamond"/>
          <w:i/>
          <w:sz w:val="28"/>
        </w:rPr>
        <w:t>Bildisco</w:t>
      </w:r>
      <w:proofErr w:type="spellEnd"/>
      <w:r w:rsidRPr="002D7985">
        <w:rPr>
          <w:rFonts w:ascii="Garamond" w:hAnsi="Garamond"/>
          <w:sz w:val="28"/>
        </w:rPr>
        <w:t xml:space="preserve">, </w:t>
      </w:r>
    </w:p>
    <w:p w:rsidR="00607BFE" w:rsidRDefault="00607BFE" w:rsidP="00607BFE">
      <w:pPr>
        <w:tabs>
          <w:tab w:val="right" w:leader="dot" w:pos="9000"/>
        </w:tabs>
        <w:ind w:left="720" w:hanging="720"/>
        <w:rPr>
          <w:rFonts w:ascii="Garamond" w:hAnsi="Garamond"/>
          <w:sz w:val="28"/>
        </w:rPr>
      </w:pPr>
      <w:r>
        <w:rPr>
          <w:rFonts w:ascii="Garamond" w:hAnsi="Garamond"/>
          <w:i/>
          <w:sz w:val="28"/>
        </w:rPr>
        <w:tab/>
      </w:r>
      <w:r w:rsidRPr="002D7985">
        <w:rPr>
          <w:rFonts w:ascii="Garamond" w:hAnsi="Garamond"/>
          <w:sz w:val="28"/>
        </w:rPr>
        <w:t>465 U.S. 513</w:t>
      </w:r>
      <w:r>
        <w:rPr>
          <w:rFonts w:ascii="Garamond" w:hAnsi="Garamond"/>
          <w:sz w:val="28"/>
        </w:rPr>
        <w:t xml:space="preserve"> (1984)</w:t>
      </w:r>
      <w:r>
        <w:rPr>
          <w:rFonts w:ascii="Garamond" w:hAnsi="Garamond"/>
          <w:sz w:val="28"/>
        </w:rPr>
        <w:tab/>
        <w:t>3</w:t>
      </w:r>
    </w:p>
    <w:p w:rsidR="00607BFE" w:rsidRDefault="00607BFE" w:rsidP="00607BFE">
      <w:pPr>
        <w:tabs>
          <w:tab w:val="right" w:leader="dot" w:pos="9000"/>
        </w:tabs>
        <w:ind w:left="720" w:hanging="720"/>
        <w:rPr>
          <w:rFonts w:ascii="Garamond" w:hAnsi="Garamond"/>
          <w:sz w:val="28"/>
        </w:rPr>
      </w:pPr>
    </w:p>
    <w:p w:rsidR="00607BFE" w:rsidRDefault="00607BFE" w:rsidP="00607BFE">
      <w:pPr>
        <w:tabs>
          <w:tab w:val="right" w:leader="dot" w:pos="9000"/>
        </w:tabs>
        <w:ind w:left="720" w:hanging="720"/>
        <w:rPr>
          <w:rFonts w:ascii="Garamond" w:hAnsi="Garamond"/>
          <w:sz w:val="28"/>
        </w:rPr>
      </w:pPr>
      <w:r w:rsidRPr="00271467">
        <w:rPr>
          <w:rFonts w:ascii="Garamond" w:hAnsi="Garamond"/>
          <w:i/>
          <w:sz w:val="28"/>
        </w:rPr>
        <w:t xml:space="preserve">Norwest Bank Worthington v. </w:t>
      </w:r>
      <w:proofErr w:type="spellStart"/>
      <w:r w:rsidRPr="00271467">
        <w:rPr>
          <w:rFonts w:ascii="Garamond" w:hAnsi="Garamond"/>
          <w:i/>
          <w:sz w:val="28"/>
        </w:rPr>
        <w:t>Ahlers</w:t>
      </w:r>
      <w:proofErr w:type="spellEnd"/>
      <w:r>
        <w:rPr>
          <w:rFonts w:ascii="Garamond" w:hAnsi="Garamond"/>
          <w:sz w:val="28"/>
        </w:rPr>
        <w:t xml:space="preserve">, </w:t>
      </w:r>
    </w:p>
    <w:p w:rsidR="00607BFE" w:rsidRDefault="00607BFE" w:rsidP="00607BFE">
      <w:pPr>
        <w:tabs>
          <w:tab w:val="right" w:leader="dot" w:pos="9000"/>
        </w:tabs>
        <w:ind w:left="720" w:hanging="720"/>
        <w:rPr>
          <w:rFonts w:ascii="Garamond" w:hAnsi="Garamond"/>
          <w:sz w:val="28"/>
        </w:rPr>
      </w:pPr>
      <w:r>
        <w:rPr>
          <w:rFonts w:ascii="Garamond" w:hAnsi="Garamond"/>
          <w:i/>
          <w:sz w:val="28"/>
        </w:rPr>
        <w:tab/>
      </w:r>
      <w:r>
        <w:rPr>
          <w:rFonts w:ascii="Garamond" w:hAnsi="Garamond"/>
          <w:sz w:val="28"/>
        </w:rPr>
        <w:t>485 U.S. 197 (1988)</w:t>
      </w:r>
      <w:r>
        <w:rPr>
          <w:rFonts w:ascii="Garamond" w:hAnsi="Garamond"/>
          <w:sz w:val="28"/>
        </w:rPr>
        <w:tab/>
        <w:t>12</w:t>
      </w:r>
    </w:p>
    <w:p w:rsidR="00607BFE" w:rsidRDefault="00607BFE" w:rsidP="00607BFE">
      <w:pPr>
        <w:tabs>
          <w:tab w:val="right" w:leader="dot" w:pos="9000"/>
        </w:tabs>
        <w:ind w:left="720" w:hanging="720"/>
        <w:rPr>
          <w:rFonts w:ascii="Garamond" w:hAnsi="Garamond"/>
          <w:sz w:val="28"/>
        </w:rPr>
      </w:pPr>
    </w:p>
    <w:p w:rsidR="00607BFE" w:rsidRDefault="00607BFE" w:rsidP="00607BFE">
      <w:pPr>
        <w:tabs>
          <w:tab w:val="right" w:leader="dot" w:pos="9000"/>
        </w:tabs>
        <w:ind w:left="720" w:hanging="720"/>
        <w:rPr>
          <w:rFonts w:ascii="Garamond" w:hAnsi="Garamond"/>
          <w:sz w:val="28"/>
        </w:rPr>
      </w:pPr>
      <w:r w:rsidRPr="002D7985">
        <w:rPr>
          <w:rFonts w:ascii="Garamond" w:hAnsi="Garamond"/>
          <w:i/>
          <w:sz w:val="28"/>
        </w:rPr>
        <w:t>Public Citizen v. Dept of Justice</w:t>
      </w:r>
      <w:r w:rsidRPr="002D7985">
        <w:rPr>
          <w:rFonts w:ascii="Garamond" w:hAnsi="Garamond"/>
          <w:sz w:val="28"/>
        </w:rPr>
        <w:t xml:space="preserve">, </w:t>
      </w:r>
    </w:p>
    <w:p w:rsidR="00607BFE" w:rsidRDefault="00607BFE" w:rsidP="00607BFE">
      <w:pPr>
        <w:tabs>
          <w:tab w:val="right" w:leader="dot" w:pos="9000"/>
        </w:tabs>
        <w:ind w:left="720" w:hanging="720"/>
        <w:rPr>
          <w:rFonts w:ascii="Garamond" w:hAnsi="Garamond"/>
          <w:sz w:val="28"/>
        </w:rPr>
      </w:pPr>
      <w:r>
        <w:rPr>
          <w:rFonts w:ascii="Garamond" w:hAnsi="Garamond"/>
          <w:i/>
          <w:sz w:val="28"/>
        </w:rPr>
        <w:tab/>
      </w:r>
      <w:proofErr w:type="gramStart"/>
      <w:r w:rsidRPr="002D7985">
        <w:rPr>
          <w:rFonts w:ascii="Garamond" w:hAnsi="Garamond"/>
          <w:sz w:val="28"/>
        </w:rPr>
        <w:t>491 U.S. 440, 109 S. Ct.</w:t>
      </w:r>
      <w:r>
        <w:rPr>
          <w:rFonts w:ascii="Garamond" w:hAnsi="Garamond"/>
          <w:sz w:val="28"/>
        </w:rPr>
        <w:t xml:space="preserve"> 2558, 105 L.Ed.2d.</w:t>
      </w:r>
      <w:proofErr w:type="gramEnd"/>
      <w:r>
        <w:rPr>
          <w:rFonts w:ascii="Garamond" w:hAnsi="Garamond"/>
          <w:sz w:val="28"/>
        </w:rPr>
        <w:t xml:space="preserve"> 377 (1989)</w:t>
      </w:r>
      <w:r>
        <w:rPr>
          <w:rFonts w:ascii="Garamond" w:hAnsi="Garamond"/>
          <w:sz w:val="28"/>
        </w:rPr>
        <w:tab/>
        <w:t>6</w:t>
      </w:r>
    </w:p>
    <w:p w:rsidR="00607BFE" w:rsidRDefault="00607BFE" w:rsidP="00607BFE">
      <w:pPr>
        <w:tabs>
          <w:tab w:val="right" w:leader="dot" w:pos="9000"/>
        </w:tabs>
        <w:ind w:left="720" w:hanging="720"/>
        <w:rPr>
          <w:rFonts w:ascii="Garamond" w:hAnsi="Garamond"/>
          <w:sz w:val="28"/>
        </w:rPr>
      </w:pPr>
    </w:p>
    <w:p w:rsidR="00607BFE" w:rsidRDefault="00607BFE" w:rsidP="00607BFE">
      <w:pPr>
        <w:tabs>
          <w:tab w:val="right" w:leader="dot" w:pos="9000"/>
        </w:tabs>
        <w:ind w:left="720" w:hanging="720"/>
        <w:rPr>
          <w:rFonts w:ascii="Garamond" w:hAnsi="Garamond"/>
          <w:sz w:val="28"/>
        </w:rPr>
      </w:pPr>
      <w:proofErr w:type="spellStart"/>
      <w:r w:rsidRPr="002D7985">
        <w:rPr>
          <w:rFonts w:ascii="Garamond" w:hAnsi="Garamond"/>
          <w:i/>
          <w:sz w:val="28"/>
        </w:rPr>
        <w:t>Ratslaf</w:t>
      </w:r>
      <w:proofErr w:type="spellEnd"/>
      <w:r w:rsidRPr="002D7985">
        <w:rPr>
          <w:rFonts w:ascii="Garamond" w:hAnsi="Garamond"/>
          <w:i/>
          <w:sz w:val="28"/>
        </w:rPr>
        <w:t xml:space="preserve"> v. United States</w:t>
      </w:r>
      <w:r w:rsidRPr="002D7985">
        <w:rPr>
          <w:rFonts w:ascii="Garamond" w:hAnsi="Garamond"/>
          <w:sz w:val="28"/>
        </w:rPr>
        <w:t xml:space="preserve">, </w:t>
      </w:r>
    </w:p>
    <w:p w:rsidR="00607BFE" w:rsidRDefault="00607BFE" w:rsidP="00607BFE">
      <w:pPr>
        <w:tabs>
          <w:tab w:val="right" w:leader="dot" w:pos="9000"/>
        </w:tabs>
        <w:ind w:left="720" w:hanging="720"/>
        <w:rPr>
          <w:rFonts w:ascii="Garamond" w:hAnsi="Garamond"/>
          <w:sz w:val="28"/>
        </w:rPr>
      </w:pPr>
      <w:r>
        <w:rPr>
          <w:rFonts w:ascii="Garamond" w:hAnsi="Garamond"/>
          <w:i/>
          <w:sz w:val="28"/>
        </w:rPr>
        <w:tab/>
      </w:r>
      <w:r>
        <w:rPr>
          <w:rFonts w:ascii="Garamond" w:hAnsi="Garamond"/>
          <w:sz w:val="28"/>
        </w:rPr>
        <w:t>510 U.S. 135 (1994)</w:t>
      </w:r>
      <w:r>
        <w:rPr>
          <w:rFonts w:ascii="Garamond" w:hAnsi="Garamond"/>
          <w:sz w:val="28"/>
        </w:rPr>
        <w:tab/>
        <w:t>11</w:t>
      </w:r>
    </w:p>
    <w:p w:rsidR="00607BFE" w:rsidRDefault="00607BFE" w:rsidP="00607BFE">
      <w:pPr>
        <w:tabs>
          <w:tab w:val="right" w:leader="dot" w:pos="9000"/>
        </w:tabs>
        <w:ind w:left="720" w:hanging="720"/>
        <w:rPr>
          <w:rFonts w:ascii="Garamond" w:hAnsi="Garamond"/>
          <w:sz w:val="28"/>
        </w:rPr>
      </w:pPr>
    </w:p>
    <w:p w:rsidR="00607BFE" w:rsidRDefault="00607BFE" w:rsidP="00607BFE">
      <w:pPr>
        <w:tabs>
          <w:tab w:val="right" w:leader="dot" w:pos="9000"/>
        </w:tabs>
        <w:ind w:left="720" w:hanging="720"/>
        <w:rPr>
          <w:rFonts w:ascii="Garamond" w:hAnsi="Garamond"/>
          <w:sz w:val="28"/>
        </w:rPr>
      </w:pPr>
      <w:r w:rsidRPr="00831A46">
        <w:rPr>
          <w:rFonts w:ascii="Garamond" w:hAnsi="Garamond"/>
          <w:i/>
          <w:sz w:val="28"/>
        </w:rPr>
        <w:t>In re</w:t>
      </w:r>
      <w:r>
        <w:rPr>
          <w:rFonts w:ascii="Garamond" w:hAnsi="Garamond"/>
          <w:sz w:val="28"/>
        </w:rPr>
        <w:t xml:space="preserve"> </w:t>
      </w:r>
      <w:proofErr w:type="spellStart"/>
      <w:r w:rsidRPr="00220C74">
        <w:rPr>
          <w:rFonts w:ascii="Garamond" w:hAnsi="Garamond"/>
          <w:i/>
          <w:sz w:val="28"/>
        </w:rPr>
        <w:t>Roedemeier</w:t>
      </w:r>
      <w:proofErr w:type="spellEnd"/>
      <w:r>
        <w:rPr>
          <w:rFonts w:ascii="Garamond" w:hAnsi="Garamond"/>
          <w:sz w:val="28"/>
        </w:rPr>
        <w:t xml:space="preserve">, </w:t>
      </w:r>
    </w:p>
    <w:p w:rsidR="00607BFE" w:rsidRPr="009C2E1D" w:rsidRDefault="00607BFE" w:rsidP="00607BFE">
      <w:pPr>
        <w:tabs>
          <w:tab w:val="right" w:leader="dot" w:pos="9000"/>
        </w:tabs>
        <w:ind w:left="720" w:hanging="720"/>
        <w:rPr>
          <w:rFonts w:ascii="Garamond" w:hAnsi="Garamond"/>
          <w:sz w:val="28"/>
          <w:szCs w:val="28"/>
        </w:rPr>
      </w:pPr>
      <w:r>
        <w:rPr>
          <w:rFonts w:ascii="Garamond" w:hAnsi="Garamond"/>
          <w:i/>
          <w:sz w:val="28"/>
        </w:rPr>
        <w:tab/>
      </w:r>
      <w:proofErr w:type="gramStart"/>
      <w:r>
        <w:rPr>
          <w:rFonts w:ascii="Garamond" w:hAnsi="Garamond"/>
          <w:sz w:val="28"/>
        </w:rPr>
        <w:t>374 B.R. 264 (</w:t>
      </w:r>
      <w:proofErr w:type="spellStart"/>
      <w:r>
        <w:rPr>
          <w:rFonts w:ascii="Garamond" w:hAnsi="Garamond"/>
          <w:sz w:val="28"/>
        </w:rPr>
        <w:t>Bankr</w:t>
      </w:r>
      <w:proofErr w:type="spellEnd"/>
      <w:r>
        <w:rPr>
          <w:rFonts w:ascii="Garamond" w:hAnsi="Garamond"/>
          <w:sz w:val="28"/>
        </w:rPr>
        <w:t>.</w:t>
      </w:r>
      <w:proofErr w:type="gramEnd"/>
      <w:r>
        <w:rPr>
          <w:rFonts w:ascii="Garamond" w:hAnsi="Garamond"/>
          <w:sz w:val="28"/>
        </w:rPr>
        <w:t xml:space="preserve"> D. Kan. 2007)</w:t>
      </w:r>
      <w:r>
        <w:rPr>
          <w:rFonts w:ascii="Garamond" w:hAnsi="Garamond"/>
          <w:sz w:val="28"/>
        </w:rPr>
        <w:tab/>
        <w:t>12, 13, 14</w:t>
      </w:r>
    </w:p>
    <w:p w:rsidR="00607BFE" w:rsidRPr="009C2E1D" w:rsidRDefault="00607BFE" w:rsidP="00607BFE">
      <w:pPr>
        <w:tabs>
          <w:tab w:val="right" w:leader="dot" w:pos="9000"/>
        </w:tabs>
        <w:ind w:left="720" w:hanging="720"/>
        <w:rPr>
          <w:rFonts w:ascii="Garamond" w:hAnsi="Garamond"/>
          <w:sz w:val="28"/>
          <w:szCs w:val="28"/>
        </w:rPr>
      </w:pPr>
    </w:p>
    <w:p w:rsidR="00607BFE" w:rsidRDefault="00607BFE" w:rsidP="00607BFE">
      <w:pPr>
        <w:tabs>
          <w:tab w:val="right" w:leader="dot" w:pos="9000"/>
        </w:tabs>
        <w:ind w:left="720" w:hanging="720"/>
        <w:rPr>
          <w:rFonts w:ascii="Garamond" w:hAnsi="Garamond"/>
          <w:sz w:val="28"/>
        </w:rPr>
      </w:pPr>
      <w:r w:rsidRPr="002D7985">
        <w:rPr>
          <w:rFonts w:ascii="Garamond" w:hAnsi="Garamond"/>
          <w:i/>
          <w:sz w:val="28"/>
        </w:rPr>
        <w:t xml:space="preserve">In re </w:t>
      </w:r>
      <w:proofErr w:type="spellStart"/>
      <w:r w:rsidRPr="002D7985">
        <w:rPr>
          <w:rFonts w:ascii="Garamond" w:hAnsi="Garamond"/>
          <w:i/>
          <w:sz w:val="28"/>
        </w:rPr>
        <w:t>Spradlin</w:t>
      </w:r>
      <w:proofErr w:type="spellEnd"/>
      <w:r w:rsidRPr="002D7985">
        <w:rPr>
          <w:rFonts w:ascii="Garamond" w:hAnsi="Garamond"/>
          <w:sz w:val="28"/>
        </w:rPr>
        <w:t xml:space="preserve">, </w:t>
      </w:r>
    </w:p>
    <w:p w:rsidR="00607BFE" w:rsidRPr="009C2E1D" w:rsidRDefault="00607BFE" w:rsidP="00607BFE">
      <w:pPr>
        <w:tabs>
          <w:tab w:val="right" w:leader="dot" w:pos="9000"/>
        </w:tabs>
        <w:ind w:left="720" w:hanging="720"/>
        <w:rPr>
          <w:rFonts w:ascii="Garamond" w:hAnsi="Garamond"/>
          <w:sz w:val="28"/>
          <w:szCs w:val="28"/>
        </w:rPr>
      </w:pPr>
      <w:r>
        <w:rPr>
          <w:rFonts w:ascii="Garamond" w:hAnsi="Garamond"/>
          <w:i/>
          <w:sz w:val="28"/>
        </w:rPr>
        <w:tab/>
      </w:r>
      <w:proofErr w:type="gramStart"/>
      <w:r>
        <w:rPr>
          <w:rFonts w:ascii="Garamond" w:hAnsi="Garamond"/>
          <w:sz w:val="28"/>
        </w:rPr>
        <w:t xml:space="preserve">231 B.R. 254 </w:t>
      </w:r>
      <w:r w:rsidRPr="002D7985">
        <w:rPr>
          <w:rFonts w:ascii="Garamond" w:hAnsi="Garamond"/>
          <w:sz w:val="28"/>
        </w:rPr>
        <w:t>(</w:t>
      </w:r>
      <w:proofErr w:type="spellStart"/>
      <w:r w:rsidRPr="002D7985">
        <w:rPr>
          <w:rFonts w:ascii="Garamond" w:hAnsi="Garamond"/>
          <w:sz w:val="28"/>
        </w:rPr>
        <w:t>Bankr</w:t>
      </w:r>
      <w:proofErr w:type="spellEnd"/>
      <w:r w:rsidRPr="002D7985">
        <w:rPr>
          <w:rFonts w:ascii="Garamond" w:hAnsi="Garamond"/>
          <w:sz w:val="28"/>
        </w:rPr>
        <w:t>.</w:t>
      </w:r>
      <w:proofErr w:type="gramEnd"/>
      <w:r w:rsidRPr="002D7985">
        <w:rPr>
          <w:rFonts w:ascii="Garamond" w:hAnsi="Garamond"/>
          <w:sz w:val="28"/>
        </w:rPr>
        <w:t xml:space="preserve"> E.D. Mich. 1999)</w:t>
      </w:r>
      <w:r w:rsidRPr="009C2E1D">
        <w:rPr>
          <w:rFonts w:ascii="Garamond" w:hAnsi="Garamond"/>
          <w:sz w:val="28"/>
          <w:szCs w:val="28"/>
        </w:rPr>
        <w:tab/>
      </w:r>
      <w:r>
        <w:rPr>
          <w:rFonts w:ascii="Garamond" w:hAnsi="Garamond"/>
          <w:sz w:val="28"/>
          <w:szCs w:val="28"/>
        </w:rPr>
        <w:t>6, 10</w:t>
      </w:r>
    </w:p>
    <w:p w:rsidR="00607BFE" w:rsidRPr="009C2E1D" w:rsidRDefault="00607BFE" w:rsidP="00607BFE">
      <w:pPr>
        <w:tabs>
          <w:tab w:val="right" w:leader="dot" w:pos="9000"/>
        </w:tabs>
        <w:rPr>
          <w:rFonts w:ascii="Garamond" w:hAnsi="Garamond"/>
          <w:sz w:val="28"/>
          <w:szCs w:val="28"/>
        </w:rPr>
      </w:pPr>
    </w:p>
    <w:p w:rsidR="00607BFE" w:rsidRPr="009C2E1D" w:rsidRDefault="00607BFE" w:rsidP="00607BFE">
      <w:pPr>
        <w:tabs>
          <w:tab w:val="right" w:leader="dot" w:pos="9000"/>
        </w:tabs>
        <w:ind w:left="720" w:hanging="720"/>
        <w:rPr>
          <w:rFonts w:ascii="Garamond" w:hAnsi="Garamond"/>
          <w:sz w:val="28"/>
          <w:szCs w:val="28"/>
        </w:rPr>
      </w:pPr>
      <w:r w:rsidRPr="009C2E1D">
        <w:rPr>
          <w:rFonts w:ascii="Garamond" w:hAnsi="Garamond"/>
          <w:i/>
          <w:sz w:val="28"/>
          <w:szCs w:val="28"/>
        </w:rPr>
        <w:t>Schwab v. Reilly</w:t>
      </w:r>
      <w:r w:rsidRPr="009C2E1D">
        <w:rPr>
          <w:rFonts w:ascii="Garamond" w:hAnsi="Garamond"/>
          <w:sz w:val="28"/>
          <w:szCs w:val="28"/>
        </w:rPr>
        <w:t xml:space="preserve">, </w:t>
      </w:r>
    </w:p>
    <w:p w:rsidR="00607BFE" w:rsidRDefault="00607BFE" w:rsidP="00607BFE">
      <w:pPr>
        <w:tabs>
          <w:tab w:val="right" w:leader="dot" w:pos="9000"/>
        </w:tabs>
        <w:ind w:left="720" w:hanging="720"/>
        <w:rPr>
          <w:rFonts w:ascii="Garamond" w:hAnsi="Garamond"/>
          <w:sz w:val="28"/>
          <w:szCs w:val="28"/>
        </w:rPr>
      </w:pPr>
      <w:r w:rsidRPr="009C2E1D">
        <w:rPr>
          <w:rFonts w:ascii="Garamond" w:hAnsi="Garamond"/>
          <w:i/>
          <w:sz w:val="28"/>
          <w:szCs w:val="28"/>
        </w:rPr>
        <w:tab/>
      </w:r>
      <w:r w:rsidRPr="009C2E1D">
        <w:rPr>
          <w:rFonts w:ascii="Garamond" w:hAnsi="Garamond"/>
          <w:sz w:val="28"/>
          <w:szCs w:val="28"/>
        </w:rPr>
        <w:t xml:space="preserve">560 U.S. —, 130 </w:t>
      </w:r>
      <w:proofErr w:type="spellStart"/>
      <w:r w:rsidRPr="009C2E1D">
        <w:rPr>
          <w:rFonts w:ascii="Garamond" w:hAnsi="Garamond"/>
          <w:sz w:val="28"/>
          <w:szCs w:val="28"/>
        </w:rPr>
        <w:t>S.Ct</w:t>
      </w:r>
      <w:proofErr w:type="spellEnd"/>
      <w:r w:rsidRPr="009C2E1D">
        <w:rPr>
          <w:rFonts w:ascii="Garamond" w:hAnsi="Garamond"/>
          <w:sz w:val="28"/>
          <w:szCs w:val="28"/>
        </w:rPr>
        <w:t>. 2652 (2010)</w:t>
      </w:r>
      <w:r w:rsidRPr="009C2E1D">
        <w:rPr>
          <w:rFonts w:ascii="Garamond" w:hAnsi="Garamond"/>
          <w:sz w:val="28"/>
          <w:szCs w:val="28"/>
        </w:rPr>
        <w:tab/>
      </w:r>
      <w:r>
        <w:rPr>
          <w:rFonts w:ascii="Garamond" w:hAnsi="Garamond"/>
          <w:sz w:val="28"/>
          <w:szCs w:val="28"/>
        </w:rPr>
        <w:t>1</w:t>
      </w:r>
    </w:p>
    <w:p w:rsidR="00607BFE" w:rsidRDefault="00607BFE" w:rsidP="00607BFE">
      <w:pPr>
        <w:tabs>
          <w:tab w:val="right" w:leader="dot" w:pos="9000"/>
        </w:tabs>
        <w:ind w:left="720" w:hanging="720"/>
        <w:rPr>
          <w:rFonts w:ascii="Garamond" w:hAnsi="Garamond"/>
          <w:sz w:val="28"/>
          <w:szCs w:val="28"/>
        </w:rPr>
      </w:pPr>
    </w:p>
    <w:p w:rsidR="00607BFE" w:rsidRDefault="00607BFE" w:rsidP="00607BFE">
      <w:pPr>
        <w:tabs>
          <w:tab w:val="right" w:leader="dot" w:pos="9000"/>
        </w:tabs>
        <w:ind w:left="720" w:hanging="720"/>
        <w:rPr>
          <w:rFonts w:ascii="Garamond" w:hAnsi="Garamond"/>
          <w:sz w:val="28"/>
        </w:rPr>
      </w:pPr>
      <w:r w:rsidRPr="002D7985">
        <w:rPr>
          <w:rFonts w:ascii="Garamond" w:hAnsi="Garamond"/>
          <w:i/>
          <w:sz w:val="28"/>
        </w:rPr>
        <w:t>In re Shat</w:t>
      </w:r>
      <w:r w:rsidRPr="002D7985">
        <w:rPr>
          <w:rFonts w:ascii="Garamond" w:hAnsi="Garamond"/>
          <w:sz w:val="28"/>
        </w:rPr>
        <w:t xml:space="preserve">, </w:t>
      </w:r>
    </w:p>
    <w:p w:rsidR="00607BFE" w:rsidRPr="009C2E1D" w:rsidRDefault="00607BFE" w:rsidP="00607BFE">
      <w:pPr>
        <w:tabs>
          <w:tab w:val="right" w:leader="dot" w:pos="9000"/>
        </w:tabs>
        <w:ind w:left="720" w:hanging="720"/>
        <w:rPr>
          <w:rFonts w:ascii="Garamond" w:hAnsi="Garamond"/>
          <w:sz w:val="28"/>
          <w:szCs w:val="28"/>
        </w:rPr>
      </w:pPr>
      <w:r>
        <w:rPr>
          <w:rFonts w:ascii="Garamond" w:hAnsi="Garamond"/>
          <w:i/>
          <w:sz w:val="28"/>
        </w:rPr>
        <w:tab/>
      </w:r>
      <w:r>
        <w:rPr>
          <w:rFonts w:ascii="Garamond" w:hAnsi="Garamond"/>
          <w:sz w:val="28"/>
        </w:rPr>
        <w:t>424 B.R. 854 (</w:t>
      </w:r>
      <w:proofErr w:type="spellStart"/>
      <w:r>
        <w:rPr>
          <w:rFonts w:ascii="Garamond" w:hAnsi="Garamond"/>
          <w:sz w:val="28"/>
        </w:rPr>
        <w:t>Bankr</w:t>
      </w:r>
      <w:proofErr w:type="spellEnd"/>
      <w:r>
        <w:rPr>
          <w:rFonts w:ascii="Garamond" w:hAnsi="Garamond"/>
          <w:sz w:val="28"/>
        </w:rPr>
        <w:t xml:space="preserve"> D. Nev. 2010)</w:t>
      </w:r>
      <w:r>
        <w:rPr>
          <w:rFonts w:ascii="Garamond" w:hAnsi="Garamond"/>
          <w:sz w:val="28"/>
        </w:rPr>
        <w:tab/>
        <w:t>9, 11, 12, 14, 15</w:t>
      </w:r>
    </w:p>
    <w:p w:rsidR="00607BFE" w:rsidRPr="009C2E1D" w:rsidRDefault="00607BFE" w:rsidP="00607BFE">
      <w:pPr>
        <w:tabs>
          <w:tab w:val="right" w:leader="dot" w:pos="9000"/>
        </w:tabs>
        <w:ind w:left="720" w:hanging="720"/>
        <w:rPr>
          <w:rFonts w:ascii="Garamond" w:hAnsi="Garamond"/>
          <w:sz w:val="28"/>
          <w:szCs w:val="28"/>
        </w:rPr>
      </w:pPr>
    </w:p>
    <w:p w:rsidR="00607BFE" w:rsidRDefault="00607BFE" w:rsidP="00607BFE">
      <w:pPr>
        <w:tabs>
          <w:tab w:val="right" w:leader="dot" w:pos="9000"/>
        </w:tabs>
        <w:ind w:left="720" w:hanging="720"/>
        <w:rPr>
          <w:rFonts w:ascii="Garamond" w:hAnsi="Garamond"/>
          <w:sz w:val="28"/>
        </w:rPr>
      </w:pPr>
      <w:r w:rsidRPr="005B16AE">
        <w:rPr>
          <w:rFonts w:ascii="Garamond" w:hAnsi="Garamond"/>
          <w:i/>
          <w:sz w:val="28"/>
        </w:rPr>
        <w:t xml:space="preserve">In re </w:t>
      </w:r>
      <w:proofErr w:type="spellStart"/>
      <w:r w:rsidRPr="005B16AE">
        <w:rPr>
          <w:rFonts w:ascii="Garamond" w:hAnsi="Garamond"/>
          <w:i/>
          <w:sz w:val="28"/>
        </w:rPr>
        <w:t>Steedley</w:t>
      </w:r>
      <w:proofErr w:type="spellEnd"/>
      <w:r>
        <w:rPr>
          <w:rFonts w:ascii="Garamond" w:hAnsi="Garamond"/>
          <w:sz w:val="28"/>
        </w:rPr>
        <w:t xml:space="preserve">, </w:t>
      </w:r>
    </w:p>
    <w:p w:rsidR="00607BFE" w:rsidRDefault="00607BFE" w:rsidP="00607BFE">
      <w:pPr>
        <w:tabs>
          <w:tab w:val="right" w:leader="dot" w:pos="9000"/>
        </w:tabs>
        <w:ind w:left="720" w:hanging="720"/>
        <w:rPr>
          <w:rFonts w:ascii="Garamond" w:hAnsi="Garamond"/>
          <w:sz w:val="28"/>
          <w:szCs w:val="28"/>
        </w:rPr>
      </w:pPr>
      <w:r>
        <w:rPr>
          <w:rFonts w:ascii="Garamond" w:hAnsi="Garamond"/>
          <w:i/>
          <w:sz w:val="28"/>
        </w:rPr>
        <w:tab/>
      </w:r>
      <w:proofErr w:type="gramStart"/>
      <w:r>
        <w:rPr>
          <w:rFonts w:ascii="Garamond" w:hAnsi="Garamond"/>
          <w:sz w:val="28"/>
        </w:rPr>
        <w:t>2010 WL 3528599 (</w:t>
      </w:r>
      <w:proofErr w:type="spellStart"/>
      <w:r>
        <w:rPr>
          <w:rFonts w:ascii="Garamond" w:hAnsi="Garamond"/>
          <w:sz w:val="28"/>
        </w:rPr>
        <w:t>Bankr</w:t>
      </w:r>
      <w:proofErr w:type="spellEnd"/>
      <w:r>
        <w:rPr>
          <w:rFonts w:ascii="Garamond" w:hAnsi="Garamond"/>
          <w:sz w:val="28"/>
        </w:rPr>
        <w:t>.</w:t>
      </w:r>
      <w:proofErr w:type="gramEnd"/>
      <w:r>
        <w:rPr>
          <w:rFonts w:ascii="Garamond" w:hAnsi="Garamond"/>
          <w:sz w:val="28"/>
        </w:rPr>
        <w:t xml:space="preserve"> S.D. Ga. Aug. 27, 2010).</w:t>
      </w:r>
      <w:r w:rsidRPr="009C2E1D">
        <w:rPr>
          <w:rFonts w:ascii="Garamond" w:hAnsi="Garamond"/>
          <w:sz w:val="28"/>
          <w:szCs w:val="28"/>
        </w:rPr>
        <w:tab/>
      </w:r>
      <w:r>
        <w:rPr>
          <w:rFonts w:ascii="Garamond" w:hAnsi="Garamond"/>
          <w:sz w:val="28"/>
          <w:szCs w:val="28"/>
        </w:rPr>
        <w:t>7</w:t>
      </w:r>
    </w:p>
    <w:p w:rsidR="00607BFE" w:rsidRDefault="00607BFE" w:rsidP="00607BFE">
      <w:pPr>
        <w:tabs>
          <w:tab w:val="right" w:leader="dot" w:pos="9000"/>
        </w:tabs>
        <w:ind w:left="720" w:hanging="720"/>
        <w:rPr>
          <w:rFonts w:ascii="Garamond" w:hAnsi="Garamond"/>
          <w:sz w:val="28"/>
          <w:szCs w:val="28"/>
        </w:rPr>
      </w:pPr>
    </w:p>
    <w:p w:rsidR="00607BFE" w:rsidRDefault="00607BFE" w:rsidP="00607BFE">
      <w:pPr>
        <w:tabs>
          <w:tab w:val="right" w:leader="dot" w:pos="9000"/>
        </w:tabs>
        <w:ind w:left="720" w:hanging="720"/>
        <w:rPr>
          <w:rFonts w:ascii="Garamond" w:hAnsi="Garamond"/>
          <w:sz w:val="28"/>
        </w:rPr>
      </w:pPr>
      <w:r w:rsidRPr="002D7985">
        <w:rPr>
          <w:rFonts w:ascii="Garamond" w:hAnsi="Garamond"/>
          <w:i/>
          <w:sz w:val="28"/>
        </w:rPr>
        <w:t xml:space="preserve">In re </w:t>
      </w:r>
      <w:proofErr w:type="spellStart"/>
      <w:r w:rsidRPr="002D7985">
        <w:rPr>
          <w:rFonts w:ascii="Garamond" w:hAnsi="Garamond"/>
          <w:i/>
          <w:sz w:val="28"/>
        </w:rPr>
        <w:t>Tegeder</w:t>
      </w:r>
      <w:proofErr w:type="spellEnd"/>
      <w:r w:rsidRPr="002D7985">
        <w:rPr>
          <w:rFonts w:ascii="Garamond" w:hAnsi="Garamond"/>
          <w:sz w:val="28"/>
        </w:rPr>
        <w:t xml:space="preserve">, </w:t>
      </w:r>
    </w:p>
    <w:p w:rsidR="00607BFE" w:rsidRPr="009C2E1D" w:rsidRDefault="00607BFE" w:rsidP="00607BFE">
      <w:pPr>
        <w:tabs>
          <w:tab w:val="right" w:leader="dot" w:pos="9000"/>
        </w:tabs>
        <w:ind w:left="720" w:hanging="720"/>
        <w:rPr>
          <w:rFonts w:ascii="Garamond" w:hAnsi="Garamond"/>
          <w:sz w:val="28"/>
          <w:szCs w:val="28"/>
        </w:rPr>
      </w:pPr>
      <w:r>
        <w:rPr>
          <w:rFonts w:ascii="Garamond" w:hAnsi="Garamond"/>
          <w:i/>
          <w:sz w:val="28"/>
        </w:rPr>
        <w:tab/>
      </w:r>
      <w:proofErr w:type="gramStart"/>
      <w:r w:rsidRPr="002D7985">
        <w:rPr>
          <w:rFonts w:ascii="Garamond" w:hAnsi="Garamond"/>
          <w:sz w:val="28"/>
        </w:rPr>
        <w:t>369</w:t>
      </w:r>
      <w:r>
        <w:rPr>
          <w:rFonts w:ascii="Garamond" w:hAnsi="Garamond"/>
          <w:sz w:val="28"/>
        </w:rPr>
        <w:t xml:space="preserve"> B.R. 477 (</w:t>
      </w:r>
      <w:proofErr w:type="spellStart"/>
      <w:r>
        <w:rPr>
          <w:rFonts w:ascii="Garamond" w:hAnsi="Garamond"/>
          <w:sz w:val="28"/>
        </w:rPr>
        <w:t>Bankr</w:t>
      </w:r>
      <w:proofErr w:type="spellEnd"/>
      <w:r>
        <w:rPr>
          <w:rFonts w:ascii="Garamond" w:hAnsi="Garamond"/>
          <w:sz w:val="28"/>
        </w:rPr>
        <w:t>.</w:t>
      </w:r>
      <w:proofErr w:type="gramEnd"/>
      <w:r>
        <w:rPr>
          <w:rFonts w:ascii="Garamond" w:hAnsi="Garamond"/>
          <w:sz w:val="28"/>
        </w:rPr>
        <w:t xml:space="preserve"> D. Neb. 2007)</w:t>
      </w:r>
      <w:r>
        <w:rPr>
          <w:rFonts w:ascii="Garamond" w:hAnsi="Garamond"/>
          <w:sz w:val="28"/>
        </w:rPr>
        <w:tab/>
        <w:t>6</w:t>
      </w:r>
    </w:p>
    <w:p w:rsidR="00607BFE" w:rsidRPr="009C2E1D" w:rsidRDefault="00607BFE" w:rsidP="00607BFE">
      <w:pPr>
        <w:tabs>
          <w:tab w:val="right" w:leader="dot" w:pos="9000"/>
        </w:tabs>
        <w:ind w:left="720" w:hanging="720"/>
        <w:rPr>
          <w:rFonts w:ascii="Garamond" w:hAnsi="Garamond"/>
          <w:sz w:val="28"/>
          <w:szCs w:val="28"/>
        </w:rPr>
      </w:pPr>
    </w:p>
    <w:p w:rsidR="00607BFE" w:rsidRDefault="00607BFE" w:rsidP="00607BFE">
      <w:pPr>
        <w:tabs>
          <w:tab w:val="right" w:leader="dot" w:pos="9000"/>
        </w:tabs>
        <w:ind w:left="720" w:hanging="720"/>
        <w:rPr>
          <w:rFonts w:ascii="Garamond" w:hAnsi="Garamond"/>
          <w:sz w:val="28"/>
        </w:rPr>
      </w:pPr>
      <w:proofErr w:type="gramStart"/>
      <w:r w:rsidRPr="002D7985">
        <w:rPr>
          <w:rFonts w:ascii="Garamond" w:hAnsi="Garamond"/>
          <w:i/>
          <w:sz w:val="28"/>
        </w:rPr>
        <w:t>In re</w:t>
      </w:r>
      <w:r w:rsidRPr="002D7985">
        <w:rPr>
          <w:rFonts w:ascii="Garamond" w:hAnsi="Garamond"/>
          <w:sz w:val="28"/>
        </w:rPr>
        <w:t xml:space="preserve"> </w:t>
      </w:r>
      <w:proofErr w:type="spellStart"/>
      <w:r w:rsidRPr="002D7985">
        <w:rPr>
          <w:rFonts w:ascii="Garamond" w:hAnsi="Garamond"/>
          <w:i/>
          <w:sz w:val="28"/>
        </w:rPr>
        <w:t>Thritieth</w:t>
      </w:r>
      <w:proofErr w:type="spellEnd"/>
      <w:r w:rsidRPr="002D7985">
        <w:rPr>
          <w:rFonts w:ascii="Garamond" w:hAnsi="Garamond"/>
          <w:i/>
          <w:sz w:val="28"/>
        </w:rPr>
        <w:t xml:space="preserve"> Place, Inc</w:t>
      </w:r>
      <w:r w:rsidRPr="002D7985">
        <w:rPr>
          <w:rFonts w:ascii="Garamond" w:hAnsi="Garamond"/>
          <w:sz w:val="28"/>
        </w:rPr>
        <w:t>.,</w:t>
      </w:r>
      <w:proofErr w:type="gramEnd"/>
      <w:r w:rsidRPr="002D7985">
        <w:rPr>
          <w:rFonts w:ascii="Garamond" w:hAnsi="Garamond"/>
          <w:sz w:val="28"/>
        </w:rPr>
        <w:t xml:space="preserve"> </w:t>
      </w:r>
    </w:p>
    <w:p w:rsidR="00607BFE" w:rsidRDefault="00607BFE" w:rsidP="00607BFE">
      <w:pPr>
        <w:tabs>
          <w:tab w:val="right" w:leader="dot" w:pos="9000"/>
        </w:tabs>
        <w:ind w:left="720" w:hanging="720"/>
        <w:rPr>
          <w:rFonts w:ascii="Garamond" w:hAnsi="Garamond"/>
          <w:sz w:val="28"/>
          <w:szCs w:val="28"/>
        </w:rPr>
      </w:pPr>
      <w:r>
        <w:rPr>
          <w:rFonts w:ascii="Garamond" w:hAnsi="Garamond"/>
          <w:i/>
          <w:sz w:val="28"/>
        </w:rPr>
        <w:tab/>
      </w:r>
      <w:r>
        <w:rPr>
          <w:rFonts w:ascii="Garamond" w:hAnsi="Garamond"/>
          <w:sz w:val="28"/>
        </w:rPr>
        <w:t xml:space="preserve">30 B.R. 503 </w:t>
      </w:r>
      <w:r w:rsidRPr="002D7985">
        <w:rPr>
          <w:rFonts w:ascii="Garamond" w:hAnsi="Garamond"/>
          <w:sz w:val="28"/>
        </w:rPr>
        <w:t>(B.A.P. 9th Cir. 1983)</w:t>
      </w:r>
      <w:r w:rsidRPr="009C2E1D">
        <w:rPr>
          <w:rFonts w:ascii="Garamond" w:hAnsi="Garamond"/>
          <w:sz w:val="28"/>
          <w:szCs w:val="28"/>
        </w:rPr>
        <w:tab/>
      </w:r>
      <w:r>
        <w:rPr>
          <w:rFonts w:ascii="Garamond" w:hAnsi="Garamond"/>
          <w:sz w:val="28"/>
          <w:szCs w:val="28"/>
        </w:rPr>
        <w:t>3</w:t>
      </w:r>
    </w:p>
    <w:p w:rsidR="00607BFE" w:rsidRDefault="00607BFE" w:rsidP="00607BFE">
      <w:pPr>
        <w:tabs>
          <w:tab w:val="right" w:leader="dot" w:pos="9000"/>
        </w:tabs>
        <w:ind w:left="720" w:hanging="720"/>
        <w:rPr>
          <w:rFonts w:ascii="Garamond" w:hAnsi="Garamond"/>
          <w:sz w:val="28"/>
          <w:szCs w:val="28"/>
        </w:rPr>
      </w:pPr>
    </w:p>
    <w:p w:rsidR="00607BFE" w:rsidRDefault="00607BFE" w:rsidP="00607BFE">
      <w:pPr>
        <w:tabs>
          <w:tab w:val="right" w:leader="dot" w:pos="9000"/>
        </w:tabs>
        <w:ind w:left="720" w:hanging="720"/>
        <w:rPr>
          <w:rFonts w:ascii="Garamond" w:hAnsi="Garamond"/>
          <w:sz w:val="28"/>
        </w:rPr>
      </w:pPr>
      <w:r w:rsidRPr="002D7985">
        <w:rPr>
          <w:rFonts w:ascii="Garamond" w:hAnsi="Garamond"/>
          <w:i/>
          <w:sz w:val="28"/>
        </w:rPr>
        <w:t>U.S. v. Whiting Pools</w:t>
      </w:r>
      <w:r>
        <w:rPr>
          <w:rFonts w:ascii="Garamond" w:hAnsi="Garamond"/>
          <w:sz w:val="28"/>
        </w:rPr>
        <w:t xml:space="preserve">, </w:t>
      </w:r>
    </w:p>
    <w:p w:rsidR="00607BFE" w:rsidRPr="009C2E1D" w:rsidRDefault="00607BFE" w:rsidP="00607BFE">
      <w:pPr>
        <w:tabs>
          <w:tab w:val="right" w:leader="dot" w:pos="9000"/>
        </w:tabs>
        <w:ind w:left="720" w:hanging="720"/>
        <w:rPr>
          <w:rFonts w:ascii="Garamond" w:hAnsi="Garamond"/>
          <w:sz w:val="28"/>
          <w:szCs w:val="28"/>
        </w:rPr>
      </w:pPr>
      <w:r>
        <w:rPr>
          <w:rFonts w:ascii="Garamond" w:hAnsi="Garamond"/>
          <w:i/>
          <w:sz w:val="28"/>
        </w:rPr>
        <w:tab/>
      </w:r>
      <w:r>
        <w:rPr>
          <w:rFonts w:ascii="Garamond" w:hAnsi="Garamond"/>
          <w:sz w:val="28"/>
        </w:rPr>
        <w:t>462 U.S. 198 (1983)</w:t>
      </w:r>
      <w:r>
        <w:rPr>
          <w:rFonts w:ascii="Garamond" w:hAnsi="Garamond"/>
          <w:sz w:val="28"/>
        </w:rPr>
        <w:tab/>
        <w:t>3, 4</w:t>
      </w:r>
    </w:p>
    <w:p w:rsidR="00607BFE" w:rsidRPr="009C2E1D" w:rsidRDefault="00607BFE" w:rsidP="00607BFE">
      <w:pPr>
        <w:tabs>
          <w:tab w:val="right" w:leader="dot" w:pos="9000"/>
        </w:tabs>
        <w:ind w:left="720" w:hanging="720"/>
        <w:rPr>
          <w:rFonts w:ascii="Garamond" w:hAnsi="Garamond"/>
          <w:sz w:val="28"/>
          <w:szCs w:val="28"/>
        </w:rPr>
      </w:pPr>
    </w:p>
    <w:p w:rsidR="00607BFE" w:rsidRDefault="00607BFE" w:rsidP="00607BFE">
      <w:pPr>
        <w:rPr>
          <w:rFonts w:ascii="Garamond" w:hAnsi="Garamond"/>
          <w:b/>
          <w:sz w:val="28"/>
          <w:szCs w:val="28"/>
        </w:rPr>
      </w:pPr>
      <w:r w:rsidRPr="009C2E1D">
        <w:rPr>
          <w:rFonts w:ascii="Garamond" w:hAnsi="Garamond"/>
          <w:b/>
          <w:sz w:val="28"/>
          <w:szCs w:val="28"/>
        </w:rPr>
        <w:t>Statutes</w:t>
      </w:r>
    </w:p>
    <w:p w:rsidR="00607BFE" w:rsidRPr="009C2E1D" w:rsidRDefault="00607BFE" w:rsidP="00607BFE">
      <w:pPr>
        <w:rPr>
          <w:rFonts w:ascii="Garamond" w:hAnsi="Garamond"/>
          <w:b/>
          <w:sz w:val="28"/>
          <w:szCs w:val="28"/>
        </w:rPr>
      </w:pPr>
    </w:p>
    <w:p w:rsidR="00607BFE" w:rsidRDefault="00607BFE" w:rsidP="00607BFE">
      <w:pPr>
        <w:tabs>
          <w:tab w:val="right" w:leader="dot" w:pos="9000"/>
        </w:tabs>
        <w:spacing w:line="360" w:lineRule="auto"/>
        <w:ind w:left="720" w:hanging="720"/>
        <w:rPr>
          <w:rFonts w:ascii="Garamond" w:hAnsi="Garamond"/>
          <w:sz w:val="28"/>
          <w:szCs w:val="28"/>
        </w:rPr>
      </w:pPr>
      <w:r w:rsidRPr="009C2E1D">
        <w:rPr>
          <w:rFonts w:ascii="Garamond" w:hAnsi="Garamond"/>
          <w:sz w:val="28"/>
          <w:szCs w:val="28"/>
        </w:rPr>
        <w:t xml:space="preserve">11 U.S.C. § </w:t>
      </w:r>
      <w:r>
        <w:rPr>
          <w:rFonts w:ascii="Garamond" w:hAnsi="Garamond"/>
          <w:sz w:val="28"/>
          <w:szCs w:val="28"/>
        </w:rPr>
        <w:t>102(3)</w:t>
      </w:r>
      <w:r>
        <w:rPr>
          <w:rFonts w:ascii="Garamond" w:hAnsi="Garamond"/>
          <w:sz w:val="28"/>
          <w:szCs w:val="28"/>
        </w:rPr>
        <w:tab/>
        <w:t>7, 9</w:t>
      </w:r>
    </w:p>
    <w:p w:rsidR="00607BFE" w:rsidRDefault="00607BFE" w:rsidP="00607BFE">
      <w:pPr>
        <w:tabs>
          <w:tab w:val="right" w:leader="dot" w:pos="9000"/>
        </w:tabs>
        <w:spacing w:line="360" w:lineRule="auto"/>
        <w:ind w:left="720" w:hanging="720"/>
        <w:rPr>
          <w:rFonts w:ascii="Garamond" w:hAnsi="Garamond"/>
          <w:sz w:val="28"/>
          <w:szCs w:val="28"/>
        </w:rPr>
      </w:pPr>
      <w:r>
        <w:rPr>
          <w:rFonts w:ascii="Garamond" w:hAnsi="Garamond"/>
          <w:sz w:val="28"/>
          <w:szCs w:val="28"/>
        </w:rPr>
        <w:t>11 U.S.C. § 109(e)</w:t>
      </w:r>
      <w:r w:rsidRPr="009C2E1D">
        <w:rPr>
          <w:rFonts w:ascii="Garamond" w:hAnsi="Garamond"/>
          <w:sz w:val="28"/>
          <w:szCs w:val="28"/>
        </w:rPr>
        <w:tab/>
      </w:r>
      <w:r>
        <w:rPr>
          <w:rFonts w:ascii="Garamond" w:hAnsi="Garamond"/>
          <w:sz w:val="28"/>
          <w:szCs w:val="28"/>
        </w:rPr>
        <w:t>1</w:t>
      </w:r>
    </w:p>
    <w:p w:rsidR="00607BFE" w:rsidRDefault="00607BFE" w:rsidP="00607BFE">
      <w:pPr>
        <w:tabs>
          <w:tab w:val="right" w:leader="dot" w:pos="9000"/>
        </w:tabs>
        <w:spacing w:line="360" w:lineRule="auto"/>
        <w:ind w:left="720" w:hanging="720"/>
        <w:rPr>
          <w:rFonts w:ascii="Garamond" w:hAnsi="Garamond"/>
          <w:sz w:val="28"/>
          <w:szCs w:val="28"/>
        </w:rPr>
      </w:pPr>
      <w:r>
        <w:rPr>
          <w:rFonts w:ascii="Garamond" w:hAnsi="Garamond"/>
          <w:sz w:val="28"/>
          <w:szCs w:val="28"/>
        </w:rPr>
        <w:t>11 U.S.C. § 541</w:t>
      </w:r>
      <w:r>
        <w:rPr>
          <w:rFonts w:ascii="Garamond" w:hAnsi="Garamond"/>
          <w:sz w:val="28"/>
          <w:szCs w:val="28"/>
        </w:rPr>
        <w:tab/>
        <w:t>5, 6, 8, 9</w:t>
      </w:r>
    </w:p>
    <w:p w:rsidR="00607BFE" w:rsidRDefault="00607BFE" w:rsidP="00607BFE">
      <w:pPr>
        <w:tabs>
          <w:tab w:val="right" w:leader="dot" w:pos="9000"/>
        </w:tabs>
        <w:spacing w:line="360" w:lineRule="auto"/>
        <w:ind w:left="720" w:hanging="720"/>
        <w:rPr>
          <w:rFonts w:ascii="Garamond" w:hAnsi="Garamond"/>
          <w:sz w:val="28"/>
          <w:szCs w:val="28"/>
        </w:rPr>
      </w:pPr>
      <w:r>
        <w:rPr>
          <w:rFonts w:ascii="Garamond" w:hAnsi="Garamond"/>
          <w:sz w:val="28"/>
          <w:szCs w:val="28"/>
        </w:rPr>
        <w:t>11 U.S.C. § 1115</w:t>
      </w:r>
      <w:r>
        <w:rPr>
          <w:rFonts w:ascii="Garamond" w:hAnsi="Garamond"/>
          <w:sz w:val="28"/>
          <w:szCs w:val="28"/>
        </w:rPr>
        <w:tab/>
        <w:t>passim</w:t>
      </w:r>
    </w:p>
    <w:p w:rsidR="00607BFE" w:rsidRDefault="00607BFE" w:rsidP="00607BFE">
      <w:pPr>
        <w:tabs>
          <w:tab w:val="right" w:leader="dot" w:pos="9000"/>
        </w:tabs>
        <w:spacing w:line="360" w:lineRule="auto"/>
        <w:rPr>
          <w:rFonts w:ascii="Garamond" w:hAnsi="Garamond"/>
          <w:sz w:val="28"/>
          <w:szCs w:val="28"/>
        </w:rPr>
      </w:pPr>
      <w:r>
        <w:rPr>
          <w:rFonts w:ascii="Garamond" w:hAnsi="Garamond"/>
          <w:sz w:val="28"/>
          <w:szCs w:val="28"/>
        </w:rPr>
        <w:t>11 U.S.C. § 1115(a)</w:t>
      </w:r>
      <w:r>
        <w:rPr>
          <w:rFonts w:ascii="Garamond" w:hAnsi="Garamond"/>
          <w:sz w:val="28"/>
          <w:szCs w:val="28"/>
        </w:rPr>
        <w:tab/>
        <w:t>6</w:t>
      </w:r>
    </w:p>
    <w:p w:rsidR="00607BFE" w:rsidRDefault="00607BFE" w:rsidP="00607BFE">
      <w:pPr>
        <w:tabs>
          <w:tab w:val="right" w:leader="dot" w:pos="9000"/>
        </w:tabs>
        <w:spacing w:line="360" w:lineRule="auto"/>
        <w:rPr>
          <w:rFonts w:ascii="Garamond" w:hAnsi="Garamond"/>
          <w:sz w:val="28"/>
          <w:szCs w:val="28"/>
        </w:rPr>
      </w:pPr>
      <w:r>
        <w:rPr>
          <w:rFonts w:ascii="Garamond" w:hAnsi="Garamond"/>
          <w:sz w:val="28"/>
          <w:szCs w:val="28"/>
        </w:rPr>
        <w:t>11 U.S.C. § 1123(a</w:t>
      </w:r>
      <w:proofErr w:type="gramStart"/>
      <w:r>
        <w:rPr>
          <w:rFonts w:ascii="Garamond" w:hAnsi="Garamond"/>
          <w:sz w:val="28"/>
          <w:szCs w:val="28"/>
        </w:rPr>
        <w:t>)(</w:t>
      </w:r>
      <w:proofErr w:type="gramEnd"/>
      <w:r>
        <w:rPr>
          <w:rFonts w:ascii="Garamond" w:hAnsi="Garamond"/>
          <w:sz w:val="28"/>
          <w:szCs w:val="28"/>
        </w:rPr>
        <w:t>8)</w:t>
      </w:r>
      <w:r>
        <w:rPr>
          <w:rFonts w:ascii="Garamond" w:hAnsi="Garamond"/>
          <w:sz w:val="28"/>
          <w:szCs w:val="28"/>
        </w:rPr>
        <w:tab/>
        <w:t>12</w:t>
      </w:r>
    </w:p>
    <w:p w:rsidR="00607BFE" w:rsidRPr="009C2E1D" w:rsidRDefault="00607BFE" w:rsidP="00607BFE">
      <w:pPr>
        <w:tabs>
          <w:tab w:val="right" w:leader="dot" w:pos="9000"/>
        </w:tabs>
        <w:spacing w:line="360" w:lineRule="auto"/>
        <w:rPr>
          <w:rFonts w:ascii="Garamond" w:hAnsi="Garamond"/>
          <w:sz w:val="28"/>
          <w:szCs w:val="28"/>
        </w:rPr>
      </w:pPr>
      <w:r>
        <w:rPr>
          <w:rFonts w:ascii="Garamond" w:hAnsi="Garamond"/>
          <w:sz w:val="28"/>
          <w:szCs w:val="28"/>
        </w:rPr>
        <w:t>11 U.S.C. § 1127(e)</w:t>
      </w:r>
      <w:r>
        <w:rPr>
          <w:rFonts w:ascii="Garamond" w:hAnsi="Garamond"/>
          <w:sz w:val="28"/>
          <w:szCs w:val="28"/>
        </w:rPr>
        <w:tab/>
        <w:t>12</w:t>
      </w:r>
    </w:p>
    <w:p w:rsidR="00607BFE" w:rsidRPr="009C2E1D" w:rsidRDefault="00607BFE" w:rsidP="00607BFE">
      <w:pPr>
        <w:tabs>
          <w:tab w:val="right" w:leader="dot" w:pos="9000"/>
        </w:tabs>
        <w:spacing w:line="360" w:lineRule="auto"/>
        <w:ind w:left="720" w:hanging="720"/>
        <w:rPr>
          <w:rFonts w:ascii="Garamond" w:hAnsi="Garamond"/>
          <w:sz w:val="28"/>
          <w:szCs w:val="28"/>
        </w:rPr>
      </w:pPr>
      <w:r w:rsidRPr="009C2E1D">
        <w:rPr>
          <w:rFonts w:ascii="Garamond" w:hAnsi="Garamond"/>
          <w:sz w:val="28"/>
          <w:szCs w:val="28"/>
        </w:rPr>
        <w:t xml:space="preserve">11 U.S.C. § </w:t>
      </w:r>
      <w:r>
        <w:rPr>
          <w:rFonts w:ascii="Garamond" w:hAnsi="Garamond"/>
          <w:sz w:val="28"/>
          <w:szCs w:val="28"/>
        </w:rPr>
        <w:t>1129</w:t>
      </w:r>
      <w:r w:rsidRPr="009C2E1D">
        <w:rPr>
          <w:rFonts w:ascii="Garamond" w:hAnsi="Garamond"/>
          <w:sz w:val="28"/>
          <w:szCs w:val="28"/>
        </w:rPr>
        <w:tab/>
        <w:t xml:space="preserve">2, </w:t>
      </w:r>
      <w:r>
        <w:rPr>
          <w:rFonts w:ascii="Garamond" w:hAnsi="Garamond"/>
          <w:sz w:val="28"/>
          <w:szCs w:val="28"/>
        </w:rPr>
        <w:t>4</w:t>
      </w:r>
    </w:p>
    <w:p w:rsidR="00607BFE" w:rsidRDefault="00607BFE" w:rsidP="00607BFE">
      <w:pPr>
        <w:tabs>
          <w:tab w:val="right" w:leader="dot" w:pos="9000"/>
        </w:tabs>
        <w:spacing w:line="360" w:lineRule="auto"/>
        <w:ind w:left="720" w:hanging="720"/>
        <w:rPr>
          <w:rFonts w:ascii="Garamond" w:hAnsi="Garamond"/>
          <w:sz w:val="28"/>
          <w:szCs w:val="28"/>
        </w:rPr>
      </w:pPr>
      <w:r w:rsidRPr="009C2E1D">
        <w:rPr>
          <w:rFonts w:ascii="Garamond" w:hAnsi="Garamond"/>
          <w:sz w:val="28"/>
          <w:szCs w:val="28"/>
        </w:rPr>
        <w:t>11 U.S.C. § </w:t>
      </w:r>
      <w:r>
        <w:rPr>
          <w:rFonts w:ascii="Garamond" w:hAnsi="Garamond"/>
          <w:sz w:val="28"/>
          <w:szCs w:val="28"/>
        </w:rPr>
        <w:t>1129(a)</w:t>
      </w:r>
      <w:r w:rsidRPr="009C2E1D">
        <w:rPr>
          <w:rFonts w:ascii="Garamond" w:hAnsi="Garamond"/>
          <w:sz w:val="28"/>
          <w:szCs w:val="28"/>
        </w:rPr>
        <w:tab/>
      </w:r>
      <w:r>
        <w:rPr>
          <w:rFonts w:ascii="Garamond" w:hAnsi="Garamond"/>
          <w:sz w:val="28"/>
          <w:szCs w:val="28"/>
        </w:rPr>
        <w:t>5, 10</w:t>
      </w:r>
    </w:p>
    <w:p w:rsidR="00607BFE" w:rsidRDefault="00607BFE" w:rsidP="00607BFE">
      <w:pPr>
        <w:tabs>
          <w:tab w:val="right" w:leader="dot" w:pos="9000"/>
        </w:tabs>
        <w:spacing w:line="360" w:lineRule="auto"/>
        <w:ind w:left="720" w:hanging="720"/>
        <w:rPr>
          <w:rFonts w:ascii="Garamond" w:hAnsi="Garamond"/>
          <w:sz w:val="28"/>
          <w:szCs w:val="28"/>
        </w:rPr>
      </w:pPr>
      <w:r>
        <w:rPr>
          <w:rFonts w:ascii="Garamond" w:hAnsi="Garamond"/>
          <w:sz w:val="28"/>
          <w:szCs w:val="28"/>
        </w:rPr>
        <w:t>11 U.S.C. § 1129(a</w:t>
      </w:r>
      <w:proofErr w:type="gramStart"/>
      <w:r>
        <w:rPr>
          <w:rFonts w:ascii="Garamond" w:hAnsi="Garamond"/>
          <w:sz w:val="28"/>
          <w:szCs w:val="28"/>
        </w:rPr>
        <w:t>)(</w:t>
      </w:r>
      <w:proofErr w:type="gramEnd"/>
      <w:r>
        <w:rPr>
          <w:rFonts w:ascii="Garamond" w:hAnsi="Garamond"/>
          <w:sz w:val="28"/>
          <w:szCs w:val="28"/>
        </w:rPr>
        <w:t>3)</w:t>
      </w:r>
      <w:r>
        <w:rPr>
          <w:rFonts w:ascii="Garamond" w:hAnsi="Garamond"/>
          <w:sz w:val="28"/>
          <w:szCs w:val="28"/>
        </w:rPr>
        <w:tab/>
        <w:t>8</w:t>
      </w:r>
    </w:p>
    <w:p w:rsidR="00607BFE" w:rsidRDefault="00607BFE" w:rsidP="00607BFE">
      <w:pPr>
        <w:tabs>
          <w:tab w:val="right" w:leader="dot" w:pos="9000"/>
        </w:tabs>
        <w:spacing w:line="360" w:lineRule="auto"/>
        <w:ind w:left="720" w:hanging="720"/>
        <w:rPr>
          <w:rFonts w:ascii="Garamond" w:hAnsi="Garamond"/>
          <w:sz w:val="28"/>
          <w:szCs w:val="28"/>
        </w:rPr>
      </w:pPr>
      <w:r>
        <w:rPr>
          <w:rFonts w:ascii="Garamond" w:hAnsi="Garamond"/>
          <w:sz w:val="28"/>
          <w:szCs w:val="28"/>
        </w:rPr>
        <w:t>11 U.S.C. § 1129(a</w:t>
      </w:r>
      <w:proofErr w:type="gramStart"/>
      <w:r>
        <w:rPr>
          <w:rFonts w:ascii="Garamond" w:hAnsi="Garamond"/>
          <w:sz w:val="28"/>
          <w:szCs w:val="28"/>
        </w:rPr>
        <w:t>)(</w:t>
      </w:r>
      <w:proofErr w:type="gramEnd"/>
      <w:r>
        <w:rPr>
          <w:rFonts w:ascii="Garamond" w:hAnsi="Garamond"/>
          <w:sz w:val="28"/>
          <w:szCs w:val="28"/>
        </w:rPr>
        <w:t>7)</w:t>
      </w:r>
      <w:r>
        <w:rPr>
          <w:rFonts w:ascii="Garamond" w:hAnsi="Garamond"/>
          <w:sz w:val="28"/>
          <w:szCs w:val="28"/>
        </w:rPr>
        <w:tab/>
        <w:t>4, 15</w:t>
      </w:r>
    </w:p>
    <w:p w:rsidR="00607BFE" w:rsidRDefault="00607BFE" w:rsidP="00607BFE">
      <w:pPr>
        <w:tabs>
          <w:tab w:val="right" w:leader="dot" w:pos="9000"/>
        </w:tabs>
        <w:spacing w:line="360" w:lineRule="auto"/>
        <w:ind w:left="720" w:hanging="720"/>
        <w:rPr>
          <w:rFonts w:ascii="Garamond" w:hAnsi="Garamond"/>
          <w:sz w:val="28"/>
          <w:szCs w:val="28"/>
        </w:rPr>
      </w:pPr>
      <w:r>
        <w:rPr>
          <w:rFonts w:ascii="Garamond" w:hAnsi="Garamond"/>
          <w:sz w:val="28"/>
          <w:szCs w:val="28"/>
        </w:rPr>
        <w:t>11 U.S.C. § 1129(a</w:t>
      </w:r>
      <w:proofErr w:type="gramStart"/>
      <w:r>
        <w:rPr>
          <w:rFonts w:ascii="Garamond" w:hAnsi="Garamond"/>
          <w:sz w:val="28"/>
          <w:szCs w:val="28"/>
        </w:rPr>
        <w:t>)(</w:t>
      </w:r>
      <w:proofErr w:type="gramEnd"/>
      <w:r>
        <w:rPr>
          <w:rFonts w:ascii="Garamond" w:hAnsi="Garamond"/>
          <w:sz w:val="28"/>
          <w:szCs w:val="28"/>
        </w:rPr>
        <w:t>8)</w:t>
      </w:r>
      <w:r>
        <w:rPr>
          <w:rFonts w:ascii="Garamond" w:hAnsi="Garamond"/>
          <w:sz w:val="28"/>
          <w:szCs w:val="28"/>
        </w:rPr>
        <w:tab/>
        <w:t>10</w:t>
      </w:r>
    </w:p>
    <w:p w:rsidR="00607BFE" w:rsidRDefault="00607BFE" w:rsidP="00607BFE">
      <w:pPr>
        <w:tabs>
          <w:tab w:val="right" w:leader="dot" w:pos="9000"/>
        </w:tabs>
        <w:spacing w:line="360" w:lineRule="auto"/>
        <w:ind w:left="720" w:hanging="720"/>
        <w:rPr>
          <w:rFonts w:ascii="Garamond" w:hAnsi="Garamond"/>
          <w:sz w:val="28"/>
          <w:szCs w:val="28"/>
        </w:rPr>
      </w:pPr>
      <w:r>
        <w:rPr>
          <w:rFonts w:ascii="Garamond" w:hAnsi="Garamond"/>
          <w:sz w:val="28"/>
          <w:szCs w:val="28"/>
        </w:rPr>
        <w:t>11 U.S.C. § 1129(a</w:t>
      </w:r>
      <w:proofErr w:type="gramStart"/>
      <w:r>
        <w:rPr>
          <w:rFonts w:ascii="Garamond" w:hAnsi="Garamond"/>
          <w:sz w:val="28"/>
          <w:szCs w:val="28"/>
        </w:rPr>
        <w:t>)(</w:t>
      </w:r>
      <w:proofErr w:type="gramEnd"/>
      <w:r>
        <w:rPr>
          <w:rFonts w:ascii="Garamond" w:hAnsi="Garamond"/>
          <w:sz w:val="28"/>
          <w:szCs w:val="28"/>
        </w:rPr>
        <w:t>14)</w:t>
      </w:r>
      <w:r>
        <w:rPr>
          <w:rFonts w:ascii="Garamond" w:hAnsi="Garamond"/>
          <w:sz w:val="28"/>
          <w:szCs w:val="28"/>
        </w:rPr>
        <w:tab/>
        <w:t>5</w:t>
      </w:r>
    </w:p>
    <w:p w:rsidR="00607BFE" w:rsidRPr="009C2E1D" w:rsidRDefault="00607BFE" w:rsidP="00607BFE">
      <w:pPr>
        <w:tabs>
          <w:tab w:val="right" w:leader="dot" w:pos="9000"/>
        </w:tabs>
        <w:spacing w:line="360" w:lineRule="auto"/>
        <w:ind w:left="720" w:hanging="720"/>
        <w:rPr>
          <w:rFonts w:ascii="Garamond" w:hAnsi="Garamond"/>
          <w:sz w:val="28"/>
          <w:szCs w:val="28"/>
        </w:rPr>
      </w:pPr>
      <w:r>
        <w:rPr>
          <w:rFonts w:ascii="Garamond" w:hAnsi="Garamond"/>
          <w:sz w:val="28"/>
          <w:szCs w:val="28"/>
        </w:rPr>
        <w:t>11 U.S.C. § 1129(a</w:t>
      </w:r>
      <w:proofErr w:type="gramStart"/>
      <w:r>
        <w:rPr>
          <w:rFonts w:ascii="Garamond" w:hAnsi="Garamond"/>
          <w:sz w:val="28"/>
          <w:szCs w:val="28"/>
        </w:rPr>
        <w:t>)(</w:t>
      </w:r>
      <w:proofErr w:type="gramEnd"/>
      <w:r>
        <w:rPr>
          <w:rFonts w:ascii="Garamond" w:hAnsi="Garamond"/>
          <w:sz w:val="28"/>
          <w:szCs w:val="28"/>
        </w:rPr>
        <w:t>15)</w:t>
      </w:r>
      <w:r>
        <w:rPr>
          <w:rFonts w:ascii="Garamond" w:hAnsi="Garamond"/>
          <w:sz w:val="28"/>
          <w:szCs w:val="28"/>
        </w:rPr>
        <w:tab/>
        <w:t>8, 12, 13, 14</w:t>
      </w:r>
    </w:p>
    <w:p w:rsidR="00607BFE" w:rsidRDefault="00607BFE" w:rsidP="00607BFE">
      <w:pPr>
        <w:tabs>
          <w:tab w:val="right" w:leader="dot" w:pos="9000"/>
        </w:tabs>
        <w:spacing w:line="360" w:lineRule="auto"/>
        <w:ind w:left="720" w:hanging="720"/>
        <w:rPr>
          <w:rFonts w:ascii="Garamond" w:hAnsi="Garamond"/>
          <w:sz w:val="28"/>
          <w:szCs w:val="28"/>
        </w:rPr>
      </w:pPr>
      <w:r w:rsidRPr="009C2E1D">
        <w:rPr>
          <w:rFonts w:ascii="Garamond" w:hAnsi="Garamond"/>
          <w:sz w:val="28"/>
          <w:szCs w:val="28"/>
        </w:rPr>
        <w:t xml:space="preserve">11 U.S.C. § </w:t>
      </w:r>
      <w:r>
        <w:rPr>
          <w:rFonts w:ascii="Garamond" w:hAnsi="Garamond"/>
          <w:sz w:val="28"/>
          <w:szCs w:val="28"/>
        </w:rPr>
        <w:t>1129(b)</w:t>
      </w:r>
      <w:r w:rsidRPr="009C2E1D">
        <w:rPr>
          <w:rFonts w:ascii="Garamond" w:hAnsi="Garamond"/>
          <w:sz w:val="28"/>
          <w:szCs w:val="28"/>
        </w:rPr>
        <w:tab/>
      </w:r>
      <w:r>
        <w:rPr>
          <w:rFonts w:ascii="Garamond" w:hAnsi="Garamond"/>
          <w:sz w:val="28"/>
          <w:szCs w:val="28"/>
        </w:rPr>
        <w:t>2, 4</w:t>
      </w:r>
    </w:p>
    <w:p w:rsidR="00607BFE" w:rsidRPr="009C2E1D" w:rsidRDefault="00607BFE" w:rsidP="00607BFE">
      <w:pPr>
        <w:tabs>
          <w:tab w:val="right" w:leader="dot" w:pos="9000"/>
        </w:tabs>
        <w:spacing w:line="360" w:lineRule="auto"/>
        <w:ind w:left="720" w:hanging="720"/>
        <w:rPr>
          <w:rFonts w:ascii="Garamond" w:hAnsi="Garamond"/>
          <w:sz w:val="28"/>
          <w:szCs w:val="28"/>
        </w:rPr>
      </w:pPr>
      <w:r>
        <w:rPr>
          <w:rFonts w:ascii="Garamond" w:hAnsi="Garamond"/>
          <w:sz w:val="28"/>
          <w:szCs w:val="28"/>
        </w:rPr>
        <w:t>11 U.S.C. § 1129(b</w:t>
      </w:r>
      <w:proofErr w:type="gramStart"/>
      <w:r>
        <w:rPr>
          <w:rFonts w:ascii="Garamond" w:hAnsi="Garamond"/>
          <w:sz w:val="28"/>
          <w:szCs w:val="28"/>
        </w:rPr>
        <w:t>)(</w:t>
      </w:r>
      <w:proofErr w:type="gramEnd"/>
      <w:r>
        <w:rPr>
          <w:rFonts w:ascii="Garamond" w:hAnsi="Garamond"/>
          <w:sz w:val="28"/>
          <w:szCs w:val="28"/>
        </w:rPr>
        <w:t>2)(B)</w:t>
      </w:r>
      <w:r>
        <w:rPr>
          <w:rFonts w:ascii="Garamond" w:hAnsi="Garamond"/>
          <w:sz w:val="28"/>
          <w:szCs w:val="28"/>
        </w:rPr>
        <w:tab/>
        <w:t>4, 12</w:t>
      </w:r>
    </w:p>
    <w:p w:rsidR="00607BFE" w:rsidRDefault="00607BFE" w:rsidP="00607BFE">
      <w:pPr>
        <w:tabs>
          <w:tab w:val="right" w:leader="dot" w:pos="9000"/>
        </w:tabs>
        <w:spacing w:line="360" w:lineRule="auto"/>
        <w:ind w:left="720" w:hanging="720"/>
        <w:rPr>
          <w:rFonts w:ascii="Garamond" w:hAnsi="Garamond"/>
          <w:sz w:val="28"/>
          <w:szCs w:val="28"/>
        </w:rPr>
      </w:pPr>
      <w:r w:rsidRPr="009C2E1D">
        <w:rPr>
          <w:rFonts w:ascii="Garamond" w:hAnsi="Garamond"/>
          <w:sz w:val="28"/>
          <w:szCs w:val="28"/>
        </w:rPr>
        <w:t>11 U.S.C. § </w:t>
      </w:r>
      <w:r>
        <w:rPr>
          <w:rFonts w:ascii="Garamond" w:hAnsi="Garamond"/>
          <w:sz w:val="28"/>
          <w:szCs w:val="28"/>
        </w:rPr>
        <w:t>1129(b</w:t>
      </w:r>
      <w:proofErr w:type="gramStart"/>
      <w:r>
        <w:rPr>
          <w:rFonts w:ascii="Garamond" w:hAnsi="Garamond"/>
          <w:sz w:val="28"/>
          <w:szCs w:val="28"/>
        </w:rPr>
        <w:t>)(</w:t>
      </w:r>
      <w:proofErr w:type="gramEnd"/>
      <w:r>
        <w:rPr>
          <w:rFonts w:ascii="Garamond" w:hAnsi="Garamond"/>
          <w:sz w:val="28"/>
          <w:szCs w:val="28"/>
        </w:rPr>
        <w:t>2)(B)(ii)</w:t>
      </w:r>
      <w:r w:rsidRPr="009C2E1D">
        <w:rPr>
          <w:rFonts w:ascii="Garamond" w:hAnsi="Garamond"/>
          <w:sz w:val="28"/>
          <w:szCs w:val="28"/>
        </w:rPr>
        <w:tab/>
      </w:r>
      <w:r>
        <w:rPr>
          <w:rFonts w:ascii="Garamond" w:hAnsi="Garamond"/>
          <w:sz w:val="28"/>
          <w:szCs w:val="28"/>
        </w:rPr>
        <w:t>passim</w:t>
      </w:r>
    </w:p>
    <w:p w:rsidR="00607BFE" w:rsidRPr="009C2E1D" w:rsidRDefault="00607BFE" w:rsidP="00607BFE">
      <w:pPr>
        <w:tabs>
          <w:tab w:val="right" w:leader="dot" w:pos="9000"/>
        </w:tabs>
        <w:spacing w:line="360" w:lineRule="auto"/>
        <w:ind w:left="720" w:hanging="720"/>
        <w:rPr>
          <w:rFonts w:ascii="Garamond" w:hAnsi="Garamond"/>
          <w:sz w:val="28"/>
          <w:szCs w:val="28"/>
        </w:rPr>
      </w:pPr>
      <w:r>
        <w:rPr>
          <w:rFonts w:ascii="Garamond" w:hAnsi="Garamond"/>
          <w:sz w:val="28"/>
          <w:szCs w:val="28"/>
        </w:rPr>
        <w:t>11 U.S.C. § 1141(d</w:t>
      </w:r>
      <w:proofErr w:type="gramStart"/>
      <w:r>
        <w:rPr>
          <w:rFonts w:ascii="Garamond" w:hAnsi="Garamond"/>
          <w:sz w:val="28"/>
          <w:szCs w:val="28"/>
        </w:rPr>
        <w:t>)(</w:t>
      </w:r>
      <w:proofErr w:type="gramEnd"/>
      <w:r>
        <w:rPr>
          <w:rFonts w:ascii="Garamond" w:hAnsi="Garamond"/>
          <w:sz w:val="28"/>
          <w:szCs w:val="28"/>
        </w:rPr>
        <w:t>5)</w:t>
      </w:r>
      <w:r>
        <w:rPr>
          <w:rFonts w:ascii="Garamond" w:hAnsi="Garamond"/>
          <w:sz w:val="28"/>
          <w:szCs w:val="28"/>
        </w:rPr>
        <w:tab/>
        <w:t>12</w:t>
      </w:r>
    </w:p>
    <w:p w:rsidR="00607BFE" w:rsidRDefault="00607BFE" w:rsidP="00607BFE">
      <w:pPr>
        <w:tabs>
          <w:tab w:val="right" w:leader="dot" w:pos="9000"/>
        </w:tabs>
        <w:spacing w:line="360" w:lineRule="auto"/>
        <w:ind w:left="720" w:hanging="720"/>
        <w:rPr>
          <w:rFonts w:ascii="Garamond" w:hAnsi="Garamond"/>
          <w:sz w:val="28"/>
          <w:szCs w:val="28"/>
        </w:rPr>
      </w:pPr>
      <w:r>
        <w:rPr>
          <w:rFonts w:ascii="Garamond" w:hAnsi="Garamond"/>
          <w:sz w:val="28"/>
          <w:szCs w:val="28"/>
        </w:rPr>
        <w:t>11 U.S.C. § 1141(d</w:t>
      </w:r>
      <w:proofErr w:type="gramStart"/>
      <w:r>
        <w:rPr>
          <w:rFonts w:ascii="Garamond" w:hAnsi="Garamond"/>
          <w:sz w:val="28"/>
          <w:szCs w:val="28"/>
        </w:rPr>
        <w:t>)(</w:t>
      </w:r>
      <w:proofErr w:type="gramEnd"/>
      <w:r>
        <w:rPr>
          <w:rFonts w:ascii="Garamond" w:hAnsi="Garamond"/>
          <w:sz w:val="28"/>
          <w:szCs w:val="28"/>
        </w:rPr>
        <w:t>5)</w:t>
      </w:r>
      <w:r>
        <w:rPr>
          <w:rFonts w:ascii="Garamond" w:hAnsi="Garamond"/>
          <w:sz w:val="28"/>
          <w:szCs w:val="28"/>
        </w:rPr>
        <w:tab/>
        <w:t>12</w:t>
      </w:r>
    </w:p>
    <w:p w:rsidR="00607BFE" w:rsidRDefault="00607BFE" w:rsidP="00607BFE">
      <w:pPr>
        <w:tabs>
          <w:tab w:val="right" w:leader="dot" w:pos="9000"/>
        </w:tabs>
        <w:spacing w:line="360" w:lineRule="auto"/>
        <w:ind w:left="720" w:hanging="720"/>
        <w:rPr>
          <w:rFonts w:ascii="Garamond" w:hAnsi="Garamond"/>
          <w:sz w:val="28"/>
          <w:szCs w:val="28"/>
        </w:rPr>
      </w:pPr>
      <w:r>
        <w:rPr>
          <w:rFonts w:ascii="Garamond" w:hAnsi="Garamond"/>
          <w:sz w:val="28"/>
          <w:szCs w:val="28"/>
        </w:rPr>
        <w:t>11 U.S.C. § 1306</w:t>
      </w:r>
      <w:r>
        <w:rPr>
          <w:rFonts w:ascii="Garamond" w:hAnsi="Garamond"/>
          <w:sz w:val="28"/>
          <w:szCs w:val="28"/>
        </w:rPr>
        <w:tab/>
        <w:t>12</w:t>
      </w:r>
    </w:p>
    <w:p w:rsidR="00607BFE" w:rsidRPr="009C2E1D" w:rsidRDefault="00607BFE" w:rsidP="00607BFE">
      <w:pPr>
        <w:tabs>
          <w:tab w:val="right" w:leader="dot" w:pos="9000"/>
        </w:tabs>
        <w:spacing w:line="360" w:lineRule="auto"/>
        <w:ind w:left="720" w:hanging="720"/>
        <w:rPr>
          <w:rFonts w:ascii="Garamond" w:hAnsi="Garamond"/>
          <w:sz w:val="28"/>
          <w:szCs w:val="28"/>
        </w:rPr>
      </w:pPr>
      <w:r>
        <w:rPr>
          <w:rFonts w:ascii="Garamond" w:hAnsi="Garamond"/>
          <w:sz w:val="28"/>
          <w:szCs w:val="28"/>
        </w:rPr>
        <w:t>11 U.S.C. § 1322(a</w:t>
      </w:r>
      <w:proofErr w:type="gramStart"/>
      <w:r>
        <w:rPr>
          <w:rFonts w:ascii="Garamond" w:hAnsi="Garamond"/>
          <w:sz w:val="28"/>
          <w:szCs w:val="28"/>
        </w:rPr>
        <w:t>)(</w:t>
      </w:r>
      <w:proofErr w:type="gramEnd"/>
      <w:r>
        <w:rPr>
          <w:rFonts w:ascii="Garamond" w:hAnsi="Garamond"/>
          <w:sz w:val="28"/>
          <w:szCs w:val="28"/>
        </w:rPr>
        <w:t>1)</w:t>
      </w:r>
      <w:r>
        <w:rPr>
          <w:rFonts w:ascii="Garamond" w:hAnsi="Garamond"/>
          <w:sz w:val="28"/>
          <w:szCs w:val="28"/>
        </w:rPr>
        <w:tab/>
        <w:t>12</w:t>
      </w:r>
    </w:p>
    <w:p w:rsidR="00607BFE" w:rsidRDefault="00607BFE" w:rsidP="00607BFE">
      <w:pPr>
        <w:tabs>
          <w:tab w:val="right" w:leader="dot" w:pos="9000"/>
        </w:tabs>
        <w:spacing w:line="360" w:lineRule="auto"/>
        <w:ind w:left="720" w:hanging="720"/>
        <w:rPr>
          <w:rFonts w:ascii="Garamond" w:hAnsi="Garamond"/>
          <w:sz w:val="28"/>
          <w:szCs w:val="28"/>
        </w:rPr>
      </w:pPr>
      <w:r w:rsidRPr="009C2E1D">
        <w:rPr>
          <w:rFonts w:ascii="Garamond" w:hAnsi="Garamond"/>
          <w:sz w:val="28"/>
          <w:szCs w:val="28"/>
        </w:rPr>
        <w:t xml:space="preserve">11 U.S.C. § </w:t>
      </w:r>
      <w:r>
        <w:rPr>
          <w:rFonts w:ascii="Garamond" w:hAnsi="Garamond"/>
          <w:sz w:val="28"/>
          <w:szCs w:val="28"/>
        </w:rPr>
        <w:t>1325(b)</w:t>
      </w:r>
      <w:r w:rsidRPr="009C2E1D">
        <w:rPr>
          <w:rFonts w:ascii="Garamond" w:hAnsi="Garamond"/>
          <w:sz w:val="28"/>
          <w:szCs w:val="28"/>
        </w:rPr>
        <w:tab/>
      </w:r>
      <w:r>
        <w:rPr>
          <w:rFonts w:ascii="Garamond" w:hAnsi="Garamond"/>
          <w:sz w:val="28"/>
          <w:szCs w:val="28"/>
        </w:rPr>
        <w:t>12, 14</w:t>
      </w:r>
    </w:p>
    <w:p w:rsidR="00607BFE" w:rsidRPr="009C2E1D" w:rsidRDefault="00607BFE" w:rsidP="00607BFE">
      <w:pPr>
        <w:tabs>
          <w:tab w:val="right" w:leader="dot" w:pos="9000"/>
        </w:tabs>
        <w:spacing w:line="360" w:lineRule="auto"/>
        <w:ind w:left="720" w:hanging="720"/>
        <w:rPr>
          <w:rFonts w:ascii="Garamond" w:hAnsi="Garamond"/>
          <w:sz w:val="28"/>
          <w:szCs w:val="28"/>
        </w:rPr>
      </w:pPr>
      <w:r>
        <w:rPr>
          <w:rFonts w:ascii="Garamond" w:hAnsi="Garamond"/>
          <w:sz w:val="28"/>
          <w:szCs w:val="28"/>
        </w:rPr>
        <w:t>11 U.S.C. § 1328(a)</w:t>
      </w:r>
      <w:r>
        <w:rPr>
          <w:rFonts w:ascii="Garamond" w:hAnsi="Garamond"/>
          <w:sz w:val="28"/>
          <w:szCs w:val="28"/>
        </w:rPr>
        <w:tab/>
        <w:t>12</w:t>
      </w:r>
    </w:p>
    <w:p w:rsidR="00607BFE" w:rsidRDefault="00607BFE" w:rsidP="00607BFE">
      <w:pPr>
        <w:tabs>
          <w:tab w:val="right" w:leader="dot" w:pos="9000"/>
        </w:tabs>
        <w:spacing w:line="360" w:lineRule="auto"/>
        <w:ind w:left="720" w:hanging="720"/>
        <w:rPr>
          <w:rFonts w:ascii="Garamond" w:hAnsi="Garamond"/>
          <w:sz w:val="28"/>
          <w:szCs w:val="28"/>
        </w:rPr>
      </w:pPr>
      <w:r w:rsidRPr="009C2E1D">
        <w:rPr>
          <w:rFonts w:ascii="Garamond" w:hAnsi="Garamond"/>
          <w:sz w:val="28"/>
          <w:szCs w:val="28"/>
        </w:rPr>
        <w:t>11 U.S.C. § </w:t>
      </w:r>
      <w:r>
        <w:rPr>
          <w:rFonts w:ascii="Garamond" w:hAnsi="Garamond"/>
          <w:sz w:val="28"/>
          <w:szCs w:val="28"/>
        </w:rPr>
        <w:t>1329(a)</w:t>
      </w:r>
      <w:r w:rsidRPr="009C2E1D">
        <w:rPr>
          <w:rFonts w:ascii="Garamond" w:hAnsi="Garamond"/>
          <w:sz w:val="28"/>
          <w:szCs w:val="28"/>
        </w:rPr>
        <w:tab/>
      </w:r>
      <w:r>
        <w:rPr>
          <w:rFonts w:ascii="Garamond" w:hAnsi="Garamond"/>
          <w:sz w:val="28"/>
          <w:szCs w:val="28"/>
        </w:rPr>
        <w:t>12</w:t>
      </w:r>
    </w:p>
    <w:p w:rsidR="00607BFE" w:rsidRPr="009C2E1D" w:rsidRDefault="00607BFE" w:rsidP="00607BFE">
      <w:pPr>
        <w:tabs>
          <w:tab w:val="right" w:leader="dot" w:pos="9000"/>
        </w:tabs>
        <w:spacing w:line="360" w:lineRule="auto"/>
        <w:ind w:left="720" w:hanging="720"/>
        <w:rPr>
          <w:rFonts w:ascii="Garamond" w:hAnsi="Garamond"/>
          <w:sz w:val="28"/>
          <w:szCs w:val="28"/>
        </w:rPr>
      </w:pPr>
    </w:p>
    <w:p w:rsidR="00607BFE" w:rsidRPr="009C2E1D" w:rsidRDefault="00607BFE" w:rsidP="00607BFE">
      <w:pPr>
        <w:tabs>
          <w:tab w:val="right" w:leader="dot" w:pos="9000"/>
        </w:tabs>
        <w:rPr>
          <w:rFonts w:ascii="Garamond" w:hAnsi="Garamond"/>
          <w:sz w:val="28"/>
          <w:szCs w:val="28"/>
        </w:rPr>
      </w:pPr>
    </w:p>
    <w:p w:rsidR="00607BFE" w:rsidRPr="009C2E1D" w:rsidRDefault="00607BFE" w:rsidP="00607BFE">
      <w:pPr>
        <w:tabs>
          <w:tab w:val="right" w:leader="dot" w:pos="9000"/>
        </w:tabs>
        <w:ind w:left="720" w:hanging="720"/>
        <w:rPr>
          <w:rFonts w:ascii="Garamond" w:hAnsi="Garamond"/>
          <w:b/>
          <w:sz w:val="28"/>
          <w:szCs w:val="28"/>
        </w:rPr>
      </w:pPr>
      <w:r>
        <w:rPr>
          <w:rFonts w:ascii="Garamond" w:hAnsi="Garamond"/>
          <w:b/>
          <w:sz w:val="28"/>
          <w:szCs w:val="28"/>
        </w:rPr>
        <w:t>Legislative History</w:t>
      </w:r>
    </w:p>
    <w:p w:rsidR="00607BFE" w:rsidRDefault="00607BFE" w:rsidP="00607BFE">
      <w:pPr>
        <w:tabs>
          <w:tab w:val="left" w:pos="720"/>
          <w:tab w:val="right" w:leader="dot" w:pos="9000"/>
          <w:tab w:val="right" w:leader="dot" w:pos="9360"/>
        </w:tabs>
        <w:rPr>
          <w:rFonts w:ascii="Garamond" w:hAnsi="Garamond"/>
          <w:sz w:val="28"/>
          <w:szCs w:val="28"/>
        </w:rPr>
      </w:pPr>
      <w:proofErr w:type="spellStart"/>
      <w:r w:rsidRPr="002D7985">
        <w:rPr>
          <w:rFonts w:ascii="Garamond" w:hAnsi="Garamond"/>
          <w:sz w:val="28"/>
        </w:rPr>
        <w:t>S.Rep</w:t>
      </w:r>
      <w:proofErr w:type="spellEnd"/>
      <w:r w:rsidRPr="002D7985">
        <w:rPr>
          <w:rFonts w:ascii="Garamond" w:hAnsi="Garamond"/>
          <w:sz w:val="28"/>
        </w:rPr>
        <w:t>. No. 95-989, 9-10 (1978)</w:t>
      </w:r>
      <w:r w:rsidRPr="009C2E1D">
        <w:rPr>
          <w:rFonts w:ascii="Garamond" w:hAnsi="Garamond"/>
          <w:sz w:val="28"/>
          <w:szCs w:val="28"/>
        </w:rPr>
        <w:tab/>
      </w:r>
      <w:r>
        <w:rPr>
          <w:rFonts w:ascii="Garamond" w:hAnsi="Garamond"/>
          <w:sz w:val="28"/>
          <w:szCs w:val="28"/>
        </w:rPr>
        <w:t>3</w:t>
      </w:r>
    </w:p>
    <w:p w:rsidR="00607BFE" w:rsidRPr="009C2E1D" w:rsidRDefault="00607BFE" w:rsidP="00607BFE">
      <w:pPr>
        <w:tabs>
          <w:tab w:val="right" w:leader="dot" w:pos="9000"/>
        </w:tabs>
        <w:ind w:left="720" w:hanging="720"/>
        <w:rPr>
          <w:rFonts w:ascii="Garamond" w:hAnsi="Garamond"/>
          <w:sz w:val="28"/>
          <w:szCs w:val="28"/>
        </w:rPr>
      </w:pPr>
    </w:p>
    <w:p w:rsidR="00607BFE" w:rsidRPr="009C2E1D" w:rsidRDefault="00607BFE" w:rsidP="00607BFE">
      <w:pPr>
        <w:tabs>
          <w:tab w:val="right" w:leader="dot" w:pos="9000"/>
        </w:tabs>
        <w:rPr>
          <w:rFonts w:ascii="Garamond" w:hAnsi="Garamond"/>
          <w:sz w:val="28"/>
          <w:szCs w:val="28"/>
        </w:rPr>
      </w:pPr>
    </w:p>
    <w:p w:rsidR="00607BFE" w:rsidRPr="009C2E1D" w:rsidRDefault="00607BFE" w:rsidP="00607BFE">
      <w:pPr>
        <w:tabs>
          <w:tab w:val="right" w:leader="dot" w:pos="9000"/>
        </w:tabs>
        <w:ind w:left="720" w:hanging="720"/>
        <w:rPr>
          <w:rFonts w:ascii="Garamond" w:hAnsi="Garamond"/>
          <w:b/>
          <w:sz w:val="28"/>
          <w:szCs w:val="28"/>
        </w:rPr>
      </w:pPr>
      <w:r w:rsidRPr="009C2E1D">
        <w:rPr>
          <w:rFonts w:ascii="Garamond" w:hAnsi="Garamond"/>
          <w:b/>
          <w:sz w:val="28"/>
          <w:szCs w:val="28"/>
        </w:rPr>
        <w:t>Other Sources</w:t>
      </w:r>
    </w:p>
    <w:p w:rsidR="00607BFE" w:rsidRDefault="00607BFE" w:rsidP="00607BFE">
      <w:pPr>
        <w:tabs>
          <w:tab w:val="left" w:pos="720"/>
          <w:tab w:val="right" w:leader="dot" w:pos="9000"/>
          <w:tab w:val="right" w:leader="dot" w:pos="9360"/>
        </w:tabs>
        <w:rPr>
          <w:rFonts w:ascii="Garamond" w:hAnsi="Garamond"/>
          <w:sz w:val="28"/>
          <w:szCs w:val="28"/>
        </w:rPr>
      </w:pPr>
    </w:p>
    <w:p w:rsidR="00607BFE" w:rsidRDefault="00607BFE" w:rsidP="00607BFE">
      <w:pPr>
        <w:tabs>
          <w:tab w:val="left" w:pos="720"/>
          <w:tab w:val="right" w:leader="dot" w:pos="9000"/>
          <w:tab w:val="right" w:leader="dot" w:pos="9360"/>
        </w:tabs>
        <w:rPr>
          <w:rFonts w:ascii="Garamond" w:hAnsi="Garamond"/>
          <w:sz w:val="28"/>
        </w:rPr>
      </w:pPr>
      <w:r w:rsidRPr="002D7985">
        <w:rPr>
          <w:rFonts w:ascii="Garamond" w:hAnsi="Garamond"/>
          <w:sz w:val="28"/>
        </w:rPr>
        <w:t xml:space="preserve">5 Keith M. </w:t>
      </w:r>
      <w:proofErr w:type="spellStart"/>
      <w:r w:rsidRPr="002D7985">
        <w:rPr>
          <w:rFonts w:ascii="Garamond" w:hAnsi="Garamond"/>
          <w:sz w:val="28"/>
        </w:rPr>
        <w:t>Lundin</w:t>
      </w:r>
      <w:proofErr w:type="spellEnd"/>
      <w:r w:rsidRPr="002D7985">
        <w:rPr>
          <w:rFonts w:ascii="Garamond" w:hAnsi="Garamond"/>
          <w:sz w:val="28"/>
        </w:rPr>
        <w:t xml:space="preserve">, Chapter 13 Bankruptcy § 368.1 </w:t>
      </w:r>
      <w:r>
        <w:rPr>
          <w:rFonts w:ascii="Garamond" w:hAnsi="Garamond"/>
          <w:sz w:val="28"/>
        </w:rPr>
        <w:t>(3d ed. 2000 &amp; Supp. 2006)</w:t>
      </w:r>
      <w:r>
        <w:rPr>
          <w:rFonts w:ascii="Garamond" w:hAnsi="Garamond"/>
          <w:sz w:val="28"/>
        </w:rPr>
        <w:tab/>
        <w:t>12</w:t>
      </w:r>
    </w:p>
    <w:p w:rsidR="00607BFE" w:rsidRDefault="00607BFE" w:rsidP="00607BFE">
      <w:pPr>
        <w:tabs>
          <w:tab w:val="left" w:pos="720"/>
          <w:tab w:val="right" w:leader="dot" w:pos="9000"/>
          <w:tab w:val="right" w:leader="dot" w:pos="9360"/>
        </w:tabs>
        <w:rPr>
          <w:rFonts w:ascii="Garamond" w:hAnsi="Garamond"/>
          <w:sz w:val="28"/>
        </w:rPr>
      </w:pPr>
    </w:p>
    <w:p w:rsidR="00607BFE" w:rsidRPr="009C2E1D" w:rsidRDefault="00607BFE" w:rsidP="00607BFE">
      <w:pPr>
        <w:tabs>
          <w:tab w:val="left" w:pos="720"/>
          <w:tab w:val="right" w:leader="dot" w:pos="9000"/>
          <w:tab w:val="right" w:leader="dot" w:pos="9360"/>
        </w:tabs>
        <w:rPr>
          <w:rFonts w:ascii="Garamond" w:hAnsi="Garamond"/>
          <w:sz w:val="28"/>
          <w:szCs w:val="28"/>
        </w:rPr>
      </w:pPr>
      <w:r>
        <w:rPr>
          <w:rFonts w:ascii="Garamond" w:hAnsi="Garamond"/>
          <w:sz w:val="28"/>
        </w:rPr>
        <w:t>2A N. Singer &amp; J. Singer, Sutherland on Statutory Construction § 47:7 (7</w:t>
      </w:r>
      <w:r w:rsidRPr="00D66C98">
        <w:rPr>
          <w:rFonts w:ascii="Garamond" w:hAnsi="Garamond"/>
          <w:sz w:val="28"/>
          <w:vertAlign w:val="superscript"/>
        </w:rPr>
        <w:t>th</w:t>
      </w:r>
      <w:r>
        <w:rPr>
          <w:rFonts w:ascii="Garamond" w:hAnsi="Garamond"/>
          <w:sz w:val="28"/>
        </w:rPr>
        <w:t xml:space="preserve"> ed. 2007)</w:t>
      </w:r>
      <w:r>
        <w:rPr>
          <w:rFonts w:ascii="Garamond" w:hAnsi="Garamond"/>
          <w:sz w:val="28"/>
        </w:rPr>
        <w:tab/>
      </w:r>
      <w:r>
        <w:rPr>
          <w:rFonts w:ascii="Garamond" w:hAnsi="Garamond"/>
          <w:sz w:val="28"/>
        </w:rPr>
        <w:tab/>
        <w:t>7</w:t>
      </w:r>
    </w:p>
    <w:p w:rsidR="00607BFE" w:rsidRPr="00AD3B5D" w:rsidRDefault="00607BFE" w:rsidP="00607BFE">
      <w:pPr>
        <w:tabs>
          <w:tab w:val="left" w:pos="720"/>
          <w:tab w:val="right" w:leader="dot" w:pos="9000"/>
          <w:tab w:val="right" w:leader="dot" w:pos="9360"/>
        </w:tabs>
        <w:rPr>
          <w:sz w:val="28"/>
          <w:szCs w:val="28"/>
        </w:rPr>
      </w:pPr>
    </w:p>
    <w:p w:rsidR="00607BFE" w:rsidRPr="0084459A" w:rsidRDefault="00607BFE" w:rsidP="00607BFE">
      <w:pPr>
        <w:sectPr w:rsidR="00607BFE" w:rsidRPr="0084459A">
          <w:footerReference w:type="even" r:id="rId9"/>
          <w:footerReference w:type="default" r:id="rId10"/>
          <w:pgSz w:w="12240" w:h="15840"/>
          <w:pgMar w:top="1440" w:right="1800" w:bottom="1440" w:left="1800" w:header="720" w:footer="720" w:gutter="0"/>
          <w:pgNumType w:fmt="lowerRoman" w:start="1"/>
          <w:cols w:space="720"/>
          <w:docGrid w:linePitch="360"/>
        </w:sectPr>
      </w:pPr>
    </w:p>
    <w:bookmarkEnd w:id="1"/>
    <w:p w:rsidR="00607BFE" w:rsidRPr="00FE71E3" w:rsidRDefault="00607BFE" w:rsidP="00607BFE">
      <w:pPr>
        <w:jc w:val="center"/>
        <w:rPr>
          <w:rFonts w:ascii="Garamond" w:hAnsi="Garamond"/>
          <w:b/>
          <w:sz w:val="28"/>
          <w:szCs w:val="28"/>
          <w:u w:val="single"/>
        </w:rPr>
      </w:pPr>
      <w:r w:rsidRPr="00FE71E3">
        <w:rPr>
          <w:rFonts w:ascii="Garamond" w:hAnsi="Garamond"/>
          <w:b/>
          <w:sz w:val="28"/>
          <w:szCs w:val="28"/>
          <w:u w:val="single"/>
        </w:rPr>
        <w:t xml:space="preserve">STATEMENT OF INTEREST OF </w:t>
      </w:r>
      <w:r w:rsidRPr="00FE71E3">
        <w:rPr>
          <w:rFonts w:ascii="Garamond" w:hAnsi="Garamond"/>
          <w:b/>
          <w:i/>
          <w:sz w:val="28"/>
          <w:szCs w:val="28"/>
          <w:u w:val="single"/>
        </w:rPr>
        <w:t>AMICUS CURIAE</w:t>
      </w:r>
    </w:p>
    <w:p w:rsidR="00607BFE" w:rsidRPr="00FE71E3" w:rsidRDefault="00607BFE" w:rsidP="00607BFE">
      <w:pPr>
        <w:rPr>
          <w:rFonts w:ascii="Garamond" w:hAnsi="Garamond"/>
          <w:sz w:val="28"/>
          <w:szCs w:val="28"/>
        </w:rPr>
      </w:pPr>
    </w:p>
    <w:p w:rsidR="00607BFE" w:rsidRPr="00FE71E3" w:rsidRDefault="00607BFE" w:rsidP="00607BFE">
      <w:pPr>
        <w:spacing w:line="480" w:lineRule="auto"/>
        <w:rPr>
          <w:rFonts w:ascii="Garamond" w:hAnsi="Garamond"/>
          <w:sz w:val="28"/>
          <w:szCs w:val="28"/>
        </w:rPr>
      </w:pPr>
      <w:r w:rsidRPr="00FE71E3">
        <w:rPr>
          <w:rFonts w:ascii="Garamond" w:hAnsi="Garamond"/>
          <w:sz w:val="28"/>
          <w:szCs w:val="28"/>
        </w:rPr>
        <w:tab/>
        <w:t>Incorporated in 1992, the National Association of Consumer Bankruptcy Attorneys (NACBA) is a non–profit organization consisting of more than 4,800 consumer bankruptcy attorneys nationwide.</w:t>
      </w:r>
    </w:p>
    <w:p w:rsidR="00607BFE" w:rsidRPr="00FE71E3" w:rsidRDefault="00607BFE" w:rsidP="00607BFE">
      <w:pPr>
        <w:spacing w:line="480" w:lineRule="auto"/>
        <w:rPr>
          <w:rFonts w:ascii="Garamond" w:hAnsi="Garamond"/>
          <w:sz w:val="28"/>
          <w:szCs w:val="28"/>
        </w:rPr>
      </w:pPr>
      <w:r w:rsidRPr="00FE71E3">
        <w:rPr>
          <w:rFonts w:ascii="Garamond" w:hAnsi="Garamond"/>
          <w:sz w:val="28"/>
          <w:szCs w:val="28"/>
        </w:rPr>
        <w:tab/>
        <w:t xml:space="preserve">NACBA’s corporate purposes include education of the bankruptcy bar and the community at large on the uses and misuses of the consumer bankruptcy process. Additionally, NACBA advocates nationally on issues that cannot adequately be addressed by individual member attorneys. </w:t>
      </w:r>
      <w:r>
        <w:rPr>
          <w:rFonts w:ascii="Garamond" w:hAnsi="Garamond"/>
          <w:sz w:val="28"/>
          <w:szCs w:val="28"/>
        </w:rPr>
        <w:t xml:space="preserve"> </w:t>
      </w:r>
      <w:r w:rsidRPr="00FE71E3">
        <w:rPr>
          <w:rFonts w:ascii="Garamond" w:hAnsi="Garamond"/>
          <w:sz w:val="28"/>
          <w:szCs w:val="28"/>
        </w:rPr>
        <w:t xml:space="preserve">It is the only national association of attorneys organized for the specific purpose of protecting the rights of consumer bankruptcy debtors. NACBA has filed </w:t>
      </w:r>
      <w:r w:rsidRPr="00256819">
        <w:rPr>
          <w:rFonts w:ascii="Garamond" w:hAnsi="Garamond"/>
          <w:i/>
          <w:sz w:val="28"/>
          <w:szCs w:val="28"/>
        </w:rPr>
        <w:t>amicus curiae</w:t>
      </w:r>
      <w:r w:rsidRPr="00256819">
        <w:rPr>
          <w:rFonts w:ascii="Garamond" w:hAnsi="Garamond"/>
          <w:sz w:val="28"/>
          <w:szCs w:val="28"/>
        </w:rPr>
        <w:t xml:space="preserve"> briefs</w:t>
      </w:r>
      <w:r w:rsidRPr="00FE71E3">
        <w:rPr>
          <w:rFonts w:ascii="Garamond" w:hAnsi="Garamond"/>
          <w:sz w:val="28"/>
          <w:szCs w:val="28"/>
        </w:rPr>
        <w:t xml:space="preserve"> in various cases seeking to protect the rights of consumer bankruptcy debtors.  </w:t>
      </w:r>
      <w:proofErr w:type="gramStart"/>
      <w:r w:rsidRPr="00FE71E3">
        <w:rPr>
          <w:rFonts w:ascii="Garamond" w:hAnsi="Garamond"/>
          <w:i/>
          <w:sz w:val="28"/>
          <w:szCs w:val="28"/>
        </w:rPr>
        <w:t>See, e.g., Schwab v. Reilly</w:t>
      </w:r>
      <w:r w:rsidRPr="00FE71E3">
        <w:rPr>
          <w:rFonts w:ascii="Garamond" w:hAnsi="Garamond"/>
          <w:sz w:val="28"/>
          <w:szCs w:val="28"/>
        </w:rPr>
        <w:t xml:space="preserve">, 560 U.S. —, 130 </w:t>
      </w:r>
      <w:proofErr w:type="spellStart"/>
      <w:r w:rsidRPr="00FE71E3">
        <w:rPr>
          <w:rFonts w:ascii="Garamond" w:hAnsi="Garamond"/>
          <w:sz w:val="28"/>
          <w:szCs w:val="28"/>
        </w:rPr>
        <w:t>S.Ct</w:t>
      </w:r>
      <w:proofErr w:type="spellEnd"/>
      <w:r w:rsidRPr="00FE71E3">
        <w:rPr>
          <w:rFonts w:ascii="Garamond" w:hAnsi="Garamond"/>
          <w:sz w:val="28"/>
          <w:szCs w:val="28"/>
        </w:rPr>
        <w:t xml:space="preserve">. 2652 (2010); </w:t>
      </w:r>
      <w:proofErr w:type="spellStart"/>
      <w:r w:rsidRPr="00FE71E3">
        <w:rPr>
          <w:rFonts w:ascii="Garamond" w:hAnsi="Garamond"/>
          <w:i/>
          <w:sz w:val="28"/>
          <w:szCs w:val="28"/>
        </w:rPr>
        <w:t>Kawaauhau</w:t>
      </w:r>
      <w:proofErr w:type="spellEnd"/>
      <w:r w:rsidRPr="00FE71E3">
        <w:rPr>
          <w:rFonts w:ascii="Garamond" w:hAnsi="Garamond"/>
          <w:i/>
          <w:sz w:val="28"/>
          <w:szCs w:val="28"/>
        </w:rPr>
        <w:t xml:space="preserve"> v.</w:t>
      </w:r>
      <w:r w:rsidRPr="00FE71E3">
        <w:rPr>
          <w:rFonts w:ascii="Garamond" w:hAnsi="Garamond"/>
          <w:sz w:val="28"/>
          <w:szCs w:val="28"/>
        </w:rPr>
        <w:t xml:space="preserve"> </w:t>
      </w:r>
      <w:r w:rsidRPr="00FE71E3">
        <w:rPr>
          <w:rFonts w:ascii="Garamond" w:hAnsi="Garamond"/>
          <w:i/>
          <w:sz w:val="28"/>
          <w:szCs w:val="28"/>
        </w:rPr>
        <w:t>Geiger</w:t>
      </w:r>
      <w:r w:rsidRPr="00FE71E3">
        <w:rPr>
          <w:rFonts w:ascii="Garamond" w:hAnsi="Garamond"/>
          <w:sz w:val="28"/>
          <w:szCs w:val="28"/>
        </w:rPr>
        <w:t>, 523 U.S. 57 (1998).</w:t>
      </w:r>
      <w:proofErr w:type="gramEnd"/>
    </w:p>
    <w:p w:rsidR="00607BFE" w:rsidRPr="002D7985" w:rsidRDefault="00607BFE" w:rsidP="00607BFE">
      <w:pPr>
        <w:spacing w:after="240" w:line="480" w:lineRule="auto"/>
        <w:rPr>
          <w:rFonts w:ascii="Garamond" w:hAnsi="Garamond"/>
          <w:sz w:val="28"/>
          <w:szCs w:val="28"/>
        </w:rPr>
      </w:pPr>
      <w:r w:rsidRPr="00FE71E3">
        <w:rPr>
          <w:rFonts w:ascii="Garamond" w:hAnsi="Garamond"/>
          <w:sz w:val="28"/>
          <w:szCs w:val="28"/>
        </w:rPr>
        <w:tab/>
        <w:t xml:space="preserve">NACBA members primarily represent individuals in bankruptcy cases.  </w:t>
      </w:r>
      <w:r>
        <w:rPr>
          <w:rFonts w:ascii="Garamond" w:hAnsi="Garamond"/>
          <w:sz w:val="28"/>
          <w:szCs w:val="28"/>
        </w:rPr>
        <w:t xml:space="preserve">Individuals who are sole proprietors often are ineligible for chapter 13 because their debts exceed the limits set forth in 11 U.S.C. § 109(e).  Once in chapter 11, many sole proprietors that want to reorganize are forced into liquidation because of the application of the absolute priority rule.  In 2005, Congress made significant amendments to chapter 11 for individuals, which give sole proprietors a realistic opportunity to reorganize while continuing to protect unsecured creditors.  This case presents one of the first opportunities for an appellate court to address whether the 2005 amendments to the Code abrogate the absolute priority rule for individual chapter 11 debtors.  As such, it is of great importance to NACBA and its membership. </w:t>
      </w:r>
    </w:p>
    <w:p w:rsidR="00607BFE" w:rsidRPr="009E224F" w:rsidRDefault="00607BFE" w:rsidP="00607BFE">
      <w:pPr>
        <w:spacing w:line="480" w:lineRule="auto"/>
        <w:jc w:val="center"/>
        <w:rPr>
          <w:rFonts w:ascii="Garamond" w:hAnsi="Garamond"/>
          <w:b/>
          <w:sz w:val="28"/>
          <w:szCs w:val="28"/>
          <w:u w:val="single"/>
        </w:rPr>
      </w:pPr>
      <w:r w:rsidRPr="009E224F">
        <w:rPr>
          <w:rFonts w:ascii="Garamond" w:hAnsi="Garamond"/>
          <w:b/>
          <w:sz w:val="28"/>
          <w:szCs w:val="28"/>
          <w:u w:val="single"/>
        </w:rPr>
        <w:t>SUMMARY OF ARGUMENT</w:t>
      </w:r>
    </w:p>
    <w:p w:rsidR="00607BFE" w:rsidRDefault="00607BFE" w:rsidP="00607BFE">
      <w:pPr>
        <w:spacing w:line="480" w:lineRule="auto"/>
        <w:rPr>
          <w:rFonts w:ascii="Garamond" w:hAnsi="Garamond"/>
          <w:sz w:val="28"/>
        </w:rPr>
      </w:pPr>
      <w:r w:rsidRPr="009E224F">
        <w:rPr>
          <w:rFonts w:ascii="Garamond" w:hAnsi="Garamond"/>
          <w:sz w:val="28"/>
          <w:szCs w:val="28"/>
        </w:rPr>
        <w:tab/>
        <w:t>Chapter 11 of the Bankruptcy Code is designed to facilitate reorganization rather than liquidation.</w:t>
      </w:r>
      <w:r>
        <w:rPr>
          <w:rFonts w:ascii="Garamond" w:hAnsi="Garamond"/>
          <w:sz w:val="28"/>
          <w:szCs w:val="28"/>
        </w:rPr>
        <w:t xml:space="preserve">  </w:t>
      </w:r>
      <w:r w:rsidRPr="002D7985">
        <w:rPr>
          <w:rFonts w:ascii="Garamond" w:hAnsi="Garamond"/>
          <w:sz w:val="28"/>
        </w:rPr>
        <w:t>Integral to the rehabilitation of the chapter 11 debtor is the plan of reorganization.  Section 1129 sets forth in detail the substantive requirements that a reorganization plan must satisfy to be confirmed.</w:t>
      </w:r>
      <w:r>
        <w:rPr>
          <w:rFonts w:ascii="Garamond" w:hAnsi="Garamond"/>
          <w:sz w:val="28"/>
        </w:rPr>
        <w:t xml:space="preserve">  If a class of creditors objects then section 1129(b) requires the plan to be fair and equitable.  With respect to unsecured creditors, fair and equitable means that (</w:t>
      </w:r>
      <w:proofErr w:type="spellStart"/>
      <w:r>
        <w:rPr>
          <w:rFonts w:ascii="Garamond" w:hAnsi="Garamond"/>
          <w:sz w:val="28"/>
        </w:rPr>
        <w:t>i</w:t>
      </w:r>
      <w:proofErr w:type="spellEnd"/>
      <w:r>
        <w:rPr>
          <w:rFonts w:ascii="Garamond" w:hAnsi="Garamond"/>
          <w:sz w:val="28"/>
        </w:rPr>
        <w:t>) claims must</w:t>
      </w:r>
      <w:r w:rsidRPr="002D7985">
        <w:rPr>
          <w:rFonts w:ascii="Garamond" w:hAnsi="Garamond"/>
          <w:sz w:val="28"/>
        </w:rPr>
        <w:t xml:space="preserve"> be paid in full or </w:t>
      </w:r>
      <w:r>
        <w:rPr>
          <w:rFonts w:ascii="Garamond" w:hAnsi="Garamond"/>
          <w:sz w:val="28"/>
        </w:rPr>
        <w:t xml:space="preserve">(ii) </w:t>
      </w:r>
      <w:r w:rsidRPr="002D7985">
        <w:rPr>
          <w:rFonts w:ascii="Garamond" w:hAnsi="Garamond"/>
          <w:sz w:val="28"/>
        </w:rPr>
        <w:t xml:space="preserve">that senior creditors are paid in full before any party with a junior </w:t>
      </w:r>
      <w:r>
        <w:rPr>
          <w:rFonts w:ascii="Garamond" w:hAnsi="Garamond"/>
          <w:sz w:val="28"/>
        </w:rPr>
        <w:t>claim or interest</w:t>
      </w:r>
      <w:r w:rsidRPr="002D7985">
        <w:rPr>
          <w:rFonts w:ascii="Garamond" w:hAnsi="Garamond"/>
          <w:sz w:val="28"/>
        </w:rPr>
        <w:t>, including the debtor, receives or retains any property</w:t>
      </w:r>
      <w:r>
        <w:rPr>
          <w:rFonts w:ascii="Garamond" w:hAnsi="Garamond"/>
          <w:sz w:val="28"/>
        </w:rPr>
        <w:t xml:space="preserve"> on account of such claim or interest</w:t>
      </w:r>
      <w:r w:rsidRPr="002D7985">
        <w:rPr>
          <w:rFonts w:ascii="Garamond" w:hAnsi="Garamond"/>
          <w:sz w:val="28"/>
        </w:rPr>
        <w:t>.  This provision is generally referred to as the “absolute priority rule.”</w:t>
      </w:r>
    </w:p>
    <w:p w:rsidR="00607BFE" w:rsidRDefault="00607BFE" w:rsidP="00607BFE">
      <w:pPr>
        <w:spacing w:line="480" w:lineRule="auto"/>
        <w:rPr>
          <w:rFonts w:ascii="Garamond" w:hAnsi="Garamond"/>
          <w:sz w:val="28"/>
        </w:rPr>
      </w:pPr>
      <w:r>
        <w:rPr>
          <w:rFonts w:ascii="Garamond" w:hAnsi="Garamond"/>
          <w:sz w:val="28"/>
        </w:rPr>
        <w:tab/>
      </w:r>
      <w:r w:rsidRPr="002D7985">
        <w:rPr>
          <w:rFonts w:ascii="Garamond" w:hAnsi="Garamond"/>
          <w:sz w:val="28"/>
        </w:rPr>
        <w:t>In 2005, Congress made significant changes to chapter 11 as it applies to individual debtors.</w:t>
      </w:r>
      <w:r>
        <w:rPr>
          <w:rFonts w:ascii="Garamond" w:hAnsi="Garamond"/>
          <w:sz w:val="28"/>
        </w:rPr>
        <w:t xml:space="preserve">  Among these changes was the addition of section 1115, which defines property of the estate for individual chapter 11 debtors, and an amendment to section 1129(b)(2)(B)(ii), which permits debtors to retain property of the estate under section 1115 notwithstanding the absolute priority rule.  These amendments effectively abrogate the absolute priority rule with respect to individual chapter 11 debtors.  </w:t>
      </w:r>
    </w:p>
    <w:p w:rsidR="00607BFE" w:rsidRDefault="00607BFE" w:rsidP="00607BFE">
      <w:pPr>
        <w:spacing w:line="480" w:lineRule="auto"/>
        <w:rPr>
          <w:rFonts w:ascii="Garamond" w:hAnsi="Garamond"/>
          <w:sz w:val="28"/>
        </w:rPr>
      </w:pPr>
      <w:r>
        <w:rPr>
          <w:rFonts w:ascii="Garamond" w:hAnsi="Garamond"/>
          <w:sz w:val="28"/>
        </w:rPr>
        <w:tab/>
        <w:t xml:space="preserve">The bankruptcy court erred in holding that the absolute priority rule still applies to individuals in chapter 11 and in denying confirmation of the </w:t>
      </w:r>
      <w:proofErr w:type="spellStart"/>
      <w:r>
        <w:rPr>
          <w:rFonts w:ascii="Garamond" w:hAnsi="Garamond"/>
          <w:sz w:val="28"/>
        </w:rPr>
        <w:t>Friedmans</w:t>
      </w:r>
      <w:proofErr w:type="spellEnd"/>
      <w:r>
        <w:rPr>
          <w:rFonts w:ascii="Garamond" w:hAnsi="Garamond"/>
          <w:sz w:val="28"/>
        </w:rPr>
        <w:t>’ plan of reorganization.   The plain language of the statute, the history of the absolute priority rule and purpose of the 2005 amendments affecting individual chapter 11 debtors all point to the abrogation of the absolute priority rule for individuals.</w:t>
      </w:r>
    </w:p>
    <w:p w:rsidR="00607BFE" w:rsidRPr="003F0A38" w:rsidRDefault="00607BFE" w:rsidP="00607BFE">
      <w:pPr>
        <w:spacing w:after="240" w:line="480" w:lineRule="auto"/>
        <w:jc w:val="center"/>
        <w:rPr>
          <w:b/>
          <w:sz w:val="28"/>
          <w:szCs w:val="28"/>
          <w:u w:val="single"/>
        </w:rPr>
      </w:pPr>
      <w:r w:rsidRPr="003F0A38">
        <w:rPr>
          <w:b/>
          <w:sz w:val="28"/>
          <w:szCs w:val="28"/>
          <w:u w:val="single"/>
        </w:rPr>
        <w:t>ARGUMENT</w:t>
      </w:r>
    </w:p>
    <w:p w:rsidR="00607BFE" w:rsidRPr="002D7985" w:rsidRDefault="00607BFE" w:rsidP="00607BFE">
      <w:pPr>
        <w:rPr>
          <w:rFonts w:ascii="Garamond" w:hAnsi="Garamond"/>
          <w:b/>
          <w:sz w:val="28"/>
        </w:rPr>
      </w:pPr>
      <w:proofErr w:type="gramStart"/>
      <w:r w:rsidRPr="002D7985">
        <w:rPr>
          <w:rFonts w:ascii="Garamond" w:hAnsi="Garamond"/>
          <w:b/>
          <w:sz w:val="28"/>
        </w:rPr>
        <w:t xml:space="preserve">I.  </w:t>
      </w:r>
      <w:r>
        <w:rPr>
          <w:rFonts w:ascii="Garamond" w:hAnsi="Garamond"/>
          <w:b/>
          <w:sz w:val="28"/>
        </w:rPr>
        <w:t>The</w:t>
      </w:r>
      <w:proofErr w:type="gramEnd"/>
      <w:r>
        <w:rPr>
          <w:rFonts w:ascii="Garamond" w:hAnsi="Garamond"/>
          <w:b/>
          <w:sz w:val="28"/>
        </w:rPr>
        <w:t xml:space="preserve"> statutory framework for chapter 11 </w:t>
      </w:r>
      <w:r w:rsidRPr="002D7985">
        <w:rPr>
          <w:rFonts w:ascii="Garamond" w:hAnsi="Garamond"/>
          <w:b/>
          <w:sz w:val="28"/>
        </w:rPr>
        <w:t>encourages reorganization, rather than liquidation</w:t>
      </w:r>
      <w:r>
        <w:rPr>
          <w:rFonts w:ascii="Garamond" w:hAnsi="Garamond"/>
          <w:b/>
          <w:sz w:val="28"/>
        </w:rPr>
        <w:t>.</w:t>
      </w:r>
    </w:p>
    <w:p w:rsidR="00607BFE" w:rsidRPr="002D7985" w:rsidRDefault="00607BFE" w:rsidP="00607BFE">
      <w:pPr>
        <w:rPr>
          <w:rFonts w:ascii="Garamond" w:hAnsi="Garamond"/>
          <w:b/>
          <w:sz w:val="28"/>
        </w:rPr>
      </w:pPr>
    </w:p>
    <w:p w:rsidR="00607BFE" w:rsidRPr="002D7985" w:rsidRDefault="00607BFE" w:rsidP="00607BFE">
      <w:pPr>
        <w:spacing w:line="480" w:lineRule="auto"/>
        <w:ind w:firstLine="720"/>
        <w:rPr>
          <w:rFonts w:ascii="Garamond" w:hAnsi="Garamond"/>
          <w:sz w:val="28"/>
        </w:rPr>
      </w:pPr>
      <w:r w:rsidRPr="002D7985">
        <w:rPr>
          <w:rFonts w:ascii="Garamond" w:hAnsi="Garamond"/>
          <w:sz w:val="28"/>
        </w:rPr>
        <w:t xml:space="preserve">The principal purpose of the Bankruptcy Code is to grant a fresh start to the honest but unfortunate debtor.  </w:t>
      </w:r>
      <w:r w:rsidRPr="002D7985">
        <w:rPr>
          <w:rFonts w:ascii="Garamond" w:hAnsi="Garamond"/>
          <w:i/>
          <w:sz w:val="28"/>
        </w:rPr>
        <w:t xml:space="preserve">See </w:t>
      </w:r>
      <w:proofErr w:type="spellStart"/>
      <w:r w:rsidRPr="002D7985">
        <w:rPr>
          <w:rFonts w:ascii="Garamond" w:hAnsi="Garamond"/>
          <w:i/>
          <w:sz w:val="28"/>
        </w:rPr>
        <w:t>Marrama</w:t>
      </w:r>
      <w:proofErr w:type="spellEnd"/>
      <w:r w:rsidRPr="002D7985">
        <w:rPr>
          <w:rFonts w:ascii="Garamond" w:hAnsi="Garamond"/>
          <w:i/>
          <w:sz w:val="28"/>
        </w:rPr>
        <w:t xml:space="preserve"> v. Citizens Bank of Mass</w:t>
      </w:r>
      <w:r w:rsidRPr="002D7985">
        <w:rPr>
          <w:rFonts w:ascii="Garamond" w:hAnsi="Garamond"/>
          <w:sz w:val="28"/>
        </w:rPr>
        <w:t xml:space="preserve">., 549 U.S. 365, 367 (2007); </w:t>
      </w:r>
      <w:proofErr w:type="spellStart"/>
      <w:r w:rsidRPr="002D7985">
        <w:rPr>
          <w:rFonts w:ascii="Garamond" w:hAnsi="Garamond"/>
          <w:i/>
          <w:sz w:val="28"/>
        </w:rPr>
        <w:t>Kokoszka</w:t>
      </w:r>
      <w:proofErr w:type="spellEnd"/>
      <w:r w:rsidRPr="002D7985">
        <w:rPr>
          <w:rFonts w:ascii="Garamond" w:hAnsi="Garamond"/>
          <w:i/>
          <w:sz w:val="28"/>
        </w:rPr>
        <w:t xml:space="preserve"> v. Belford</w:t>
      </w:r>
      <w:r w:rsidRPr="002D7985">
        <w:rPr>
          <w:rFonts w:ascii="Garamond" w:hAnsi="Garamond"/>
          <w:sz w:val="28"/>
        </w:rPr>
        <w:t>, 417 U.S. 642, 645 (1974).</w:t>
      </w:r>
      <w:r>
        <w:rPr>
          <w:rFonts w:ascii="Garamond" w:hAnsi="Garamond"/>
          <w:sz w:val="28"/>
        </w:rPr>
        <w:t xml:space="preserve">  More specifically, c</w:t>
      </w:r>
      <w:r w:rsidRPr="002D7985">
        <w:rPr>
          <w:rFonts w:ascii="Garamond" w:hAnsi="Garamond"/>
          <w:sz w:val="28"/>
        </w:rPr>
        <w:t xml:space="preserve">hapter 11 of the Bankruptcy Code is designed to facilitate reorganization </w:t>
      </w:r>
      <w:r>
        <w:rPr>
          <w:rFonts w:ascii="Garamond" w:hAnsi="Garamond"/>
          <w:sz w:val="28"/>
        </w:rPr>
        <w:t>and rehabilitation of the debtor</w:t>
      </w:r>
      <w:r w:rsidRPr="002D7985">
        <w:rPr>
          <w:rFonts w:ascii="Garamond" w:hAnsi="Garamond"/>
          <w:sz w:val="28"/>
        </w:rPr>
        <w:t xml:space="preserve">.  </w:t>
      </w:r>
      <w:r w:rsidRPr="002D7985">
        <w:rPr>
          <w:rFonts w:ascii="Garamond" w:hAnsi="Garamond"/>
          <w:i/>
          <w:sz w:val="28"/>
        </w:rPr>
        <w:t>See In re</w:t>
      </w:r>
      <w:r w:rsidRPr="002D7985">
        <w:rPr>
          <w:rFonts w:ascii="Garamond" w:hAnsi="Garamond"/>
          <w:sz w:val="28"/>
        </w:rPr>
        <w:t xml:space="preserve"> </w:t>
      </w:r>
      <w:proofErr w:type="spellStart"/>
      <w:r w:rsidRPr="002D7985">
        <w:rPr>
          <w:rFonts w:ascii="Garamond" w:hAnsi="Garamond"/>
          <w:i/>
          <w:sz w:val="28"/>
        </w:rPr>
        <w:t>Thritieth</w:t>
      </w:r>
      <w:proofErr w:type="spellEnd"/>
      <w:r w:rsidRPr="002D7985">
        <w:rPr>
          <w:rFonts w:ascii="Garamond" w:hAnsi="Garamond"/>
          <w:i/>
          <w:sz w:val="28"/>
        </w:rPr>
        <w:t xml:space="preserve"> Place, Inc</w:t>
      </w:r>
      <w:r w:rsidRPr="002D7985">
        <w:rPr>
          <w:rFonts w:ascii="Garamond" w:hAnsi="Garamond"/>
          <w:sz w:val="28"/>
        </w:rPr>
        <w:t>., 30 B.R. 503, 504 (B.A.P. 9th Cir. 1983)(“</w:t>
      </w:r>
      <w:r w:rsidRPr="002D7985">
        <w:rPr>
          <w:rFonts w:ascii="Garamond" w:hAnsi="Garamond" w:cs="Verdana"/>
          <w:sz w:val="28"/>
          <w:szCs w:val="32"/>
        </w:rPr>
        <w:t>Chapter 11 of the Bankruptcy Code has one purpose; the rehabilitation or reorganization of entities entitled by statute to its relief”)</w:t>
      </w:r>
      <w:r w:rsidRPr="002D7985">
        <w:rPr>
          <w:rFonts w:ascii="Garamond" w:hAnsi="Garamond"/>
          <w:sz w:val="28"/>
        </w:rPr>
        <w:t xml:space="preserve">; </w:t>
      </w:r>
      <w:r w:rsidRPr="002D7985">
        <w:rPr>
          <w:rFonts w:ascii="Garamond" w:hAnsi="Garamond"/>
          <w:i/>
          <w:sz w:val="28"/>
        </w:rPr>
        <w:t xml:space="preserve">see also Nat. Labor Relations Bd. </w:t>
      </w:r>
      <w:r>
        <w:rPr>
          <w:rFonts w:ascii="Garamond" w:hAnsi="Garamond"/>
          <w:i/>
          <w:sz w:val="28"/>
        </w:rPr>
        <w:t>v</w:t>
      </w:r>
      <w:r w:rsidRPr="002D7985">
        <w:rPr>
          <w:rFonts w:ascii="Garamond" w:hAnsi="Garamond"/>
          <w:i/>
          <w:sz w:val="28"/>
        </w:rPr>
        <w:t xml:space="preserve">. </w:t>
      </w:r>
      <w:proofErr w:type="spellStart"/>
      <w:r w:rsidRPr="002D7985">
        <w:rPr>
          <w:rFonts w:ascii="Garamond" w:hAnsi="Garamond"/>
          <w:i/>
          <w:sz w:val="28"/>
        </w:rPr>
        <w:t>Bildisco</w:t>
      </w:r>
      <w:proofErr w:type="spellEnd"/>
      <w:r w:rsidRPr="002D7985">
        <w:rPr>
          <w:rFonts w:ascii="Garamond" w:hAnsi="Garamond"/>
          <w:sz w:val="28"/>
        </w:rPr>
        <w:t xml:space="preserve">, 465 U.S. 513, 527 (1984); </w:t>
      </w:r>
      <w:proofErr w:type="spellStart"/>
      <w:r w:rsidRPr="002D7985">
        <w:rPr>
          <w:rFonts w:ascii="Garamond" w:hAnsi="Garamond"/>
          <w:sz w:val="28"/>
        </w:rPr>
        <w:t>S.Rep</w:t>
      </w:r>
      <w:proofErr w:type="spellEnd"/>
      <w:r w:rsidRPr="002D7985">
        <w:rPr>
          <w:rFonts w:ascii="Garamond" w:hAnsi="Garamond"/>
          <w:sz w:val="28"/>
        </w:rPr>
        <w:t>. No. 95-989, 9-10 (1978</w:t>
      </w:r>
      <w:proofErr w:type="gramStart"/>
      <w:r w:rsidRPr="002D7985">
        <w:rPr>
          <w:rFonts w:ascii="Garamond" w:hAnsi="Garamond"/>
          <w:sz w:val="28"/>
        </w:rPr>
        <w:t>)(</w:t>
      </w:r>
      <w:proofErr w:type="gramEnd"/>
      <w:r w:rsidRPr="002D7985">
        <w:rPr>
          <w:rFonts w:ascii="Garamond" w:hAnsi="Garamond"/>
          <w:sz w:val="28"/>
        </w:rPr>
        <w:t>“</w:t>
      </w:r>
      <w:r w:rsidRPr="002D7985">
        <w:rPr>
          <w:rFonts w:ascii="Garamond" w:hAnsi="Garamond" w:cs="Verdana"/>
          <w:sz w:val="28"/>
          <w:szCs w:val="32"/>
        </w:rPr>
        <w:t>Chapter 11 deals with the reorganization of a financially distressed business enterprise, providing for its rehabilitation by adjustment of its debt obligations and equity interests”).</w:t>
      </w:r>
      <w:r w:rsidRPr="002D7985">
        <w:rPr>
          <w:rFonts w:ascii="Garamond" w:hAnsi="Garamond"/>
          <w:sz w:val="28"/>
        </w:rPr>
        <w:t xml:space="preserve">  </w:t>
      </w:r>
      <w:r>
        <w:rPr>
          <w:rFonts w:ascii="Garamond" w:hAnsi="Garamond"/>
          <w:sz w:val="28"/>
        </w:rPr>
        <w:t xml:space="preserve">It is intended </w:t>
      </w:r>
      <w:r w:rsidRPr="002D7985">
        <w:rPr>
          <w:rFonts w:ascii="Garamond" w:hAnsi="Garamond"/>
          <w:sz w:val="28"/>
        </w:rPr>
        <w:t>to avoid liquidations under chapter 7, since liquidations have a negative impact on jobs, suppliers of the busi</w:t>
      </w:r>
      <w:r>
        <w:rPr>
          <w:rFonts w:ascii="Garamond" w:hAnsi="Garamond"/>
          <w:sz w:val="28"/>
        </w:rPr>
        <w:t>ness and the economy as a whole,</w:t>
      </w:r>
      <w:r w:rsidRPr="002D7985">
        <w:rPr>
          <w:rFonts w:ascii="Garamond" w:hAnsi="Garamond"/>
          <w:sz w:val="28"/>
        </w:rPr>
        <w:t xml:space="preserve"> </w:t>
      </w:r>
      <w:r w:rsidRPr="00733A5D">
        <w:rPr>
          <w:rFonts w:ascii="Garamond" w:hAnsi="Garamond"/>
          <w:i/>
          <w:sz w:val="28"/>
        </w:rPr>
        <w:t>s</w:t>
      </w:r>
      <w:r w:rsidRPr="002D7985">
        <w:rPr>
          <w:rFonts w:ascii="Garamond" w:hAnsi="Garamond"/>
          <w:i/>
          <w:sz w:val="28"/>
        </w:rPr>
        <w:t>ee U.S. v. Whiting Pools</w:t>
      </w:r>
      <w:r>
        <w:rPr>
          <w:rFonts w:ascii="Garamond" w:hAnsi="Garamond"/>
          <w:sz w:val="28"/>
        </w:rPr>
        <w:t>, 462 U.S. 198, 203 (1983), and, per 11 U.S.C. § 1129(a)(7), creditors receive more in a successful chapter 11 than in a chapter 7 liquidation.</w:t>
      </w:r>
    </w:p>
    <w:p w:rsidR="00607BFE" w:rsidRPr="002D7985" w:rsidRDefault="00607BFE" w:rsidP="00607BFE">
      <w:pPr>
        <w:spacing w:line="480" w:lineRule="auto"/>
        <w:rPr>
          <w:rFonts w:ascii="Garamond" w:hAnsi="Garamond"/>
          <w:sz w:val="28"/>
        </w:rPr>
      </w:pPr>
      <w:r w:rsidRPr="002D7985">
        <w:rPr>
          <w:rFonts w:ascii="Garamond" w:hAnsi="Garamond"/>
          <w:sz w:val="28"/>
        </w:rPr>
        <w:tab/>
        <w:t>Integral to the re</w:t>
      </w:r>
      <w:r>
        <w:rPr>
          <w:rFonts w:ascii="Garamond" w:hAnsi="Garamond"/>
          <w:sz w:val="28"/>
        </w:rPr>
        <w:t>habilitation</w:t>
      </w:r>
      <w:r w:rsidRPr="002D7985">
        <w:rPr>
          <w:rFonts w:ascii="Garamond" w:hAnsi="Garamond"/>
          <w:sz w:val="28"/>
        </w:rPr>
        <w:t xml:space="preserve"> of the chapter 11 debtor is the plan of reorganization.  Section 1129 sets forth in detail the substantive requirements that a reorganization plan must satisfy to be confirmed.  </w:t>
      </w:r>
      <w:proofErr w:type="gramStart"/>
      <w:r>
        <w:rPr>
          <w:rFonts w:ascii="Garamond" w:hAnsi="Garamond"/>
          <w:sz w:val="28"/>
        </w:rPr>
        <w:t>11 U.S.C. § 1129.</w:t>
      </w:r>
      <w:proofErr w:type="gramEnd"/>
      <w:r>
        <w:rPr>
          <w:rFonts w:ascii="Garamond" w:hAnsi="Garamond"/>
          <w:sz w:val="28"/>
        </w:rPr>
        <w:t xml:space="preserve"> </w:t>
      </w:r>
      <w:r w:rsidRPr="002D7985">
        <w:rPr>
          <w:rFonts w:ascii="Garamond" w:hAnsi="Garamond"/>
          <w:sz w:val="28"/>
        </w:rPr>
        <w:t xml:space="preserve">A chapter 11 plan that meets the requirements of section 1129(a) and is accepted by all </w:t>
      </w:r>
      <w:r>
        <w:rPr>
          <w:rFonts w:ascii="Garamond" w:hAnsi="Garamond"/>
          <w:sz w:val="28"/>
        </w:rPr>
        <w:t xml:space="preserve">impaired </w:t>
      </w:r>
      <w:r w:rsidRPr="002D7985">
        <w:rPr>
          <w:rFonts w:ascii="Garamond" w:hAnsi="Garamond"/>
          <w:sz w:val="28"/>
        </w:rPr>
        <w:t xml:space="preserve">classes of creditors </w:t>
      </w:r>
      <w:r>
        <w:rPr>
          <w:rFonts w:ascii="Garamond" w:hAnsi="Garamond"/>
          <w:sz w:val="28"/>
        </w:rPr>
        <w:t>must</w:t>
      </w:r>
      <w:r w:rsidRPr="002D7985">
        <w:rPr>
          <w:rFonts w:ascii="Garamond" w:hAnsi="Garamond"/>
          <w:sz w:val="28"/>
        </w:rPr>
        <w:t xml:space="preserve"> be confirmed by the bankruptcy court.  By contrast, </w:t>
      </w:r>
      <w:r>
        <w:rPr>
          <w:rFonts w:ascii="Garamond" w:hAnsi="Garamond"/>
          <w:sz w:val="28"/>
        </w:rPr>
        <w:t>if there are impaired classes that have not accepted the plan</w:t>
      </w:r>
      <w:r w:rsidRPr="002D7985">
        <w:rPr>
          <w:rFonts w:ascii="Garamond" w:hAnsi="Garamond"/>
          <w:sz w:val="28"/>
        </w:rPr>
        <w:t xml:space="preserve">, </w:t>
      </w:r>
      <w:r>
        <w:rPr>
          <w:rFonts w:ascii="Garamond" w:hAnsi="Garamond"/>
          <w:sz w:val="28"/>
        </w:rPr>
        <w:t>the</w:t>
      </w:r>
      <w:r w:rsidRPr="002D7985">
        <w:rPr>
          <w:rFonts w:ascii="Garamond" w:hAnsi="Garamond"/>
          <w:sz w:val="28"/>
        </w:rPr>
        <w:t xml:space="preserve"> plan must conform to the dictates of section 1129(b). That section permits a court to confirm a chapter 11 plan over the objection of creditor classes “if the plan does not discriminate unfairly, and is fair and equitable, with respect to each class of claims or interests that is impaired under, and has not accepted, the plan.” </w:t>
      </w:r>
      <w:proofErr w:type="gramStart"/>
      <w:r>
        <w:rPr>
          <w:rFonts w:ascii="Garamond" w:hAnsi="Garamond"/>
          <w:sz w:val="28"/>
        </w:rPr>
        <w:t>11 U.S.C. § 1129(b).</w:t>
      </w:r>
      <w:proofErr w:type="gramEnd"/>
      <w:r>
        <w:rPr>
          <w:rFonts w:ascii="Garamond" w:hAnsi="Garamond"/>
          <w:sz w:val="28"/>
        </w:rPr>
        <w:t xml:space="preserve">  S</w:t>
      </w:r>
      <w:r w:rsidRPr="002D7985">
        <w:rPr>
          <w:rFonts w:ascii="Garamond" w:hAnsi="Garamond"/>
          <w:sz w:val="28"/>
        </w:rPr>
        <w:t>ectio</w:t>
      </w:r>
      <w:r>
        <w:rPr>
          <w:rFonts w:ascii="Garamond" w:hAnsi="Garamond"/>
          <w:sz w:val="28"/>
        </w:rPr>
        <w:t>n 1129(b</w:t>
      </w:r>
      <w:proofErr w:type="gramStart"/>
      <w:r>
        <w:rPr>
          <w:rFonts w:ascii="Garamond" w:hAnsi="Garamond"/>
          <w:sz w:val="28"/>
        </w:rPr>
        <w:t>)(</w:t>
      </w:r>
      <w:proofErr w:type="gramEnd"/>
      <w:r>
        <w:rPr>
          <w:rFonts w:ascii="Garamond" w:hAnsi="Garamond"/>
          <w:sz w:val="28"/>
        </w:rPr>
        <w:t>2)(B) requires unsecured creditors (</w:t>
      </w:r>
      <w:proofErr w:type="spellStart"/>
      <w:r>
        <w:rPr>
          <w:rFonts w:ascii="Garamond" w:hAnsi="Garamond"/>
          <w:sz w:val="28"/>
        </w:rPr>
        <w:t>i</w:t>
      </w:r>
      <w:proofErr w:type="spellEnd"/>
      <w:r>
        <w:rPr>
          <w:rFonts w:ascii="Garamond" w:hAnsi="Garamond"/>
          <w:sz w:val="28"/>
        </w:rPr>
        <w:t xml:space="preserve">) </w:t>
      </w:r>
      <w:r w:rsidRPr="002D7985">
        <w:rPr>
          <w:rFonts w:ascii="Garamond" w:hAnsi="Garamond"/>
          <w:sz w:val="28"/>
        </w:rPr>
        <w:t xml:space="preserve">to be paid </w:t>
      </w:r>
      <w:r>
        <w:rPr>
          <w:rFonts w:ascii="Garamond" w:hAnsi="Garamond"/>
          <w:sz w:val="28"/>
        </w:rPr>
        <w:t>the value of the allowed amount of the claim as of the effective date of the plan;</w:t>
      </w:r>
      <w:r w:rsidRPr="002D7985">
        <w:rPr>
          <w:rFonts w:ascii="Garamond" w:hAnsi="Garamond"/>
          <w:sz w:val="28"/>
        </w:rPr>
        <w:t xml:space="preserve"> or </w:t>
      </w:r>
      <w:r>
        <w:rPr>
          <w:rFonts w:ascii="Garamond" w:hAnsi="Garamond"/>
          <w:sz w:val="28"/>
        </w:rPr>
        <w:t xml:space="preserve">(ii) </w:t>
      </w:r>
      <w:r w:rsidRPr="002D7985">
        <w:rPr>
          <w:rFonts w:ascii="Garamond" w:hAnsi="Garamond"/>
          <w:sz w:val="28"/>
        </w:rPr>
        <w:t>that senior creditors are paid in full before any party with a junior interest, including the debtor, receives or retains any property</w:t>
      </w:r>
      <w:r>
        <w:rPr>
          <w:rFonts w:ascii="Garamond" w:hAnsi="Garamond"/>
          <w:sz w:val="28"/>
        </w:rPr>
        <w:t>, except that an individual debtor may retain estate property under section 1115, subject to certain domestic support obligations</w:t>
      </w:r>
      <w:r w:rsidRPr="002D7985">
        <w:rPr>
          <w:rFonts w:ascii="Garamond" w:hAnsi="Garamond"/>
          <w:sz w:val="28"/>
        </w:rPr>
        <w:t>.  This provision is generally referred to as the “absolute priority rule.”</w:t>
      </w:r>
    </w:p>
    <w:p w:rsidR="00607BFE" w:rsidRPr="002D7985" w:rsidRDefault="00607BFE" w:rsidP="00607BFE">
      <w:pPr>
        <w:spacing w:line="480" w:lineRule="auto"/>
        <w:rPr>
          <w:rFonts w:ascii="Garamond" w:hAnsi="Garamond"/>
          <w:sz w:val="28"/>
        </w:rPr>
      </w:pPr>
      <w:r w:rsidRPr="002D7985">
        <w:rPr>
          <w:rFonts w:ascii="Garamond" w:hAnsi="Garamond"/>
          <w:sz w:val="28"/>
        </w:rPr>
        <w:tab/>
        <w:t xml:space="preserve">In 2005, Congress made significant changes to chapter 11 as it applies to individual debtors.  </w:t>
      </w:r>
      <w:r>
        <w:rPr>
          <w:rFonts w:ascii="Garamond" w:hAnsi="Garamond"/>
          <w:sz w:val="28"/>
        </w:rPr>
        <w:t>Among other provisions</w:t>
      </w:r>
      <w:r w:rsidRPr="002D7985">
        <w:rPr>
          <w:rFonts w:ascii="Garamond" w:hAnsi="Garamond"/>
          <w:sz w:val="28"/>
        </w:rPr>
        <w:t>, Congress added section 1115, which states as follows:</w:t>
      </w:r>
    </w:p>
    <w:p w:rsidR="00607BFE" w:rsidRPr="002D7985" w:rsidRDefault="00607BFE" w:rsidP="00607BFE">
      <w:pPr>
        <w:ind w:left="720" w:right="720"/>
        <w:rPr>
          <w:rFonts w:ascii="Garamond" w:hAnsi="Garamond"/>
          <w:sz w:val="28"/>
        </w:rPr>
      </w:pPr>
      <w:r w:rsidRPr="002D7985">
        <w:rPr>
          <w:rFonts w:ascii="Garamond" w:hAnsi="Garamond"/>
          <w:sz w:val="28"/>
        </w:rPr>
        <w:tab/>
        <w:t>(a) In a case in which the debtor is an individual, property of the estate includes, in addition to the property specified in section 541—</w:t>
      </w:r>
    </w:p>
    <w:p w:rsidR="00607BFE" w:rsidRPr="002D7985" w:rsidRDefault="00607BFE" w:rsidP="00607BFE">
      <w:pPr>
        <w:ind w:left="720" w:right="720"/>
        <w:rPr>
          <w:rFonts w:ascii="Garamond" w:hAnsi="Garamond"/>
          <w:sz w:val="28"/>
        </w:rPr>
      </w:pPr>
      <w:r w:rsidRPr="002D7985">
        <w:rPr>
          <w:rFonts w:ascii="Garamond" w:hAnsi="Garamond"/>
          <w:sz w:val="28"/>
        </w:rPr>
        <w:tab/>
        <w:t>(1) all property of the kind specified in section 541 that the debtor acquires after the commencement of the case but before the case is closed, dismissed or converted to a case under chapter 7, 12, or 13, whichever occurs first; and</w:t>
      </w:r>
    </w:p>
    <w:p w:rsidR="00607BFE" w:rsidRPr="002D7985" w:rsidRDefault="00607BFE" w:rsidP="00607BFE">
      <w:pPr>
        <w:ind w:left="720" w:right="720"/>
        <w:rPr>
          <w:rFonts w:ascii="Garamond" w:hAnsi="Garamond"/>
          <w:sz w:val="28"/>
        </w:rPr>
      </w:pPr>
      <w:r w:rsidRPr="002D7985">
        <w:rPr>
          <w:rFonts w:ascii="Garamond" w:hAnsi="Garamond"/>
          <w:sz w:val="28"/>
        </w:rPr>
        <w:tab/>
        <w:t xml:space="preserve">(2) </w:t>
      </w:r>
      <w:proofErr w:type="gramStart"/>
      <w:r w:rsidRPr="002D7985">
        <w:rPr>
          <w:rFonts w:ascii="Garamond" w:hAnsi="Garamond"/>
          <w:sz w:val="28"/>
        </w:rPr>
        <w:t>earnings</w:t>
      </w:r>
      <w:proofErr w:type="gramEnd"/>
      <w:r w:rsidRPr="002D7985">
        <w:rPr>
          <w:rFonts w:ascii="Garamond" w:hAnsi="Garamond"/>
          <w:sz w:val="28"/>
        </w:rPr>
        <w:t xml:space="preserve"> from services performed by the debtor after the commencement of the case but before the case </w:t>
      </w:r>
      <w:r>
        <w:rPr>
          <w:rFonts w:ascii="Garamond" w:hAnsi="Garamond"/>
          <w:sz w:val="28"/>
        </w:rPr>
        <w:t>is closed, dismissed, or conver</w:t>
      </w:r>
      <w:r w:rsidRPr="002D7985">
        <w:rPr>
          <w:rFonts w:ascii="Garamond" w:hAnsi="Garamond"/>
          <w:sz w:val="28"/>
        </w:rPr>
        <w:t>ted to a case under chapter 7, 12, or 13, whichever occurs first.</w:t>
      </w:r>
    </w:p>
    <w:p w:rsidR="00607BFE" w:rsidRPr="002D7985" w:rsidRDefault="00607BFE" w:rsidP="00607BFE">
      <w:pPr>
        <w:ind w:left="720" w:right="720"/>
        <w:rPr>
          <w:rFonts w:ascii="Garamond" w:hAnsi="Garamond"/>
          <w:sz w:val="28"/>
        </w:rPr>
      </w:pPr>
      <w:r w:rsidRPr="002D7985">
        <w:rPr>
          <w:rFonts w:ascii="Garamond" w:hAnsi="Garamond"/>
          <w:sz w:val="28"/>
        </w:rPr>
        <w:tab/>
        <w:t>(b) Except as provided in section 1104 or a confirmed plan or order confirming a plan the debtor shall remain in possession of all property of the estate.</w:t>
      </w:r>
    </w:p>
    <w:p w:rsidR="00607BFE" w:rsidRPr="002D7985" w:rsidRDefault="00607BFE" w:rsidP="00607BFE">
      <w:pPr>
        <w:rPr>
          <w:rFonts w:ascii="Garamond" w:hAnsi="Garamond"/>
          <w:sz w:val="28"/>
        </w:rPr>
      </w:pPr>
    </w:p>
    <w:p w:rsidR="00607BFE" w:rsidRPr="002D7985" w:rsidRDefault="00607BFE" w:rsidP="00607BFE">
      <w:pPr>
        <w:rPr>
          <w:rFonts w:ascii="Garamond" w:hAnsi="Garamond"/>
          <w:sz w:val="28"/>
        </w:rPr>
      </w:pPr>
    </w:p>
    <w:p w:rsidR="00607BFE" w:rsidRDefault="00607BFE" w:rsidP="00607BFE">
      <w:pPr>
        <w:spacing w:line="480" w:lineRule="auto"/>
        <w:rPr>
          <w:rFonts w:ascii="Garamond" w:hAnsi="Garamond"/>
          <w:sz w:val="28"/>
        </w:rPr>
      </w:pPr>
      <w:r w:rsidRPr="002D7985">
        <w:rPr>
          <w:rFonts w:ascii="Garamond" w:hAnsi="Garamond"/>
          <w:sz w:val="28"/>
        </w:rPr>
        <w:t xml:space="preserve">Congress amended section </w:t>
      </w:r>
      <w:r>
        <w:rPr>
          <w:rFonts w:ascii="Garamond" w:hAnsi="Garamond"/>
          <w:sz w:val="28"/>
        </w:rPr>
        <w:t>1129(b</w:t>
      </w:r>
      <w:proofErr w:type="gramStart"/>
      <w:r>
        <w:rPr>
          <w:rFonts w:ascii="Garamond" w:hAnsi="Garamond"/>
          <w:sz w:val="28"/>
        </w:rPr>
        <w:t>)(</w:t>
      </w:r>
      <w:proofErr w:type="gramEnd"/>
      <w:r>
        <w:rPr>
          <w:rFonts w:ascii="Garamond" w:hAnsi="Garamond"/>
          <w:sz w:val="28"/>
        </w:rPr>
        <w:t xml:space="preserve">2)(B)(ii) to </w:t>
      </w:r>
      <w:r w:rsidRPr="002D7985">
        <w:rPr>
          <w:rFonts w:ascii="Garamond" w:hAnsi="Garamond"/>
          <w:sz w:val="28"/>
        </w:rPr>
        <w:t xml:space="preserve">except </w:t>
      </w:r>
      <w:r>
        <w:rPr>
          <w:rFonts w:ascii="Garamond" w:hAnsi="Garamond"/>
          <w:sz w:val="28"/>
        </w:rPr>
        <w:t>in individual cases “</w:t>
      </w:r>
      <w:r w:rsidRPr="002D7985">
        <w:rPr>
          <w:rFonts w:ascii="Garamond" w:hAnsi="Garamond"/>
          <w:sz w:val="28"/>
        </w:rPr>
        <w:t>property included in the estate under section 1115, subject to the req</w:t>
      </w:r>
      <w:r>
        <w:rPr>
          <w:rFonts w:ascii="Garamond" w:hAnsi="Garamond"/>
          <w:sz w:val="28"/>
        </w:rPr>
        <w:t>uirements of subsection (a)(14),</w:t>
      </w:r>
      <w:r w:rsidRPr="002D7985">
        <w:rPr>
          <w:rFonts w:ascii="Garamond" w:hAnsi="Garamond"/>
          <w:sz w:val="28"/>
        </w:rPr>
        <w:t>”</w:t>
      </w:r>
      <w:r w:rsidRPr="002D7985">
        <w:rPr>
          <w:rStyle w:val="FootnoteReference"/>
          <w:rFonts w:ascii="Garamond" w:hAnsi="Garamond"/>
          <w:sz w:val="28"/>
        </w:rPr>
        <w:footnoteReference w:id="1"/>
      </w:r>
      <w:r>
        <w:rPr>
          <w:rFonts w:ascii="Garamond" w:hAnsi="Garamond"/>
          <w:sz w:val="28"/>
        </w:rPr>
        <w:t xml:space="preserve"> from the absolute priority rule.  Congress also </w:t>
      </w:r>
      <w:r w:rsidRPr="002D7985">
        <w:rPr>
          <w:rFonts w:ascii="Garamond" w:hAnsi="Garamond"/>
          <w:sz w:val="28"/>
        </w:rPr>
        <w:t xml:space="preserve">added a projected disposable income test, similar to that in chapter 13, to the confirmation requirements for individual chapter 11 plans.  </w:t>
      </w:r>
    </w:p>
    <w:p w:rsidR="00607BFE" w:rsidRPr="002D7985" w:rsidRDefault="00607BFE" w:rsidP="00607BFE">
      <w:pPr>
        <w:spacing w:line="480" w:lineRule="auto"/>
        <w:rPr>
          <w:rFonts w:ascii="Garamond" w:hAnsi="Garamond"/>
          <w:sz w:val="28"/>
        </w:rPr>
      </w:pPr>
      <w:r>
        <w:rPr>
          <w:rFonts w:ascii="Garamond" w:hAnsi="Garamond"/>
          <w:sz w:val="28"/>
        </w:rPr>
        <w:tab/>
        <w:t>When read plainly, the amendments to chapter 11 with respect to individual debtors show that the absolute priority rule has been abrogated in favor of the projected disposable income test as the mechanism to protect unsecured creditors.  Nevertheless, the bankruptcy court below held that the debtors must continue to satisfy the absolute priority rule to cram down unsecured creditors.   Thus, the bankruptcy court opted for an interpretation of the statute that forces “honest but unfortunate” individual chapter 11 debtors into liquidation rather than allowing for effective reorganization.</w:t>
      </w:r>
    </w:p>
    <w:p w:rsidR="00607BFE" w:rsidRPr="002D7985" w:rsidRDefault="00607BFE" w:rsidP="00607BFE">
      <w:pPr>
        <w:rPr>
          <w:rFonts w:ascii="Garamond" w:hAnsi="Garamond"/>
          <w:sz w:val="28"/>
        </w:rPr>
      </w:pPr>
      <w:r w:rsidRPr="002D7985">
        <w:rPr>
          <w:rFonts w:ascii="Garamond" w:hAnsi="Garamond"/>
          <w:b/>
          <w:sz w:val="28"/>
        </w:rPr>
        <w:t>I</w:t>
      </w:r>
      <w:r>
        <w:rPr>
          <w:rFonts w:ascii="Garamond" w:hAnsi="Garamond"/>
          <w:b/>
          <w:sz w:val="28"/>
        </w:rPr>
        <w:t>I</w:t>
      </w:r>
      <w:r w:rsidRPr="002D7985">
        <w:rPr>
          <w:rFonts w:ascii="Garamond" w:hAnsi="Garamond"/>
          <w:b/>
          <w:sz w:val="28"/>
        </w:rPr>
        <w:t xml:space="preserve">. The plain language of </w:t>
      </w:r>
      <w:r>
        <w:rPr>
          <w:rFonts w:ascii="Garamond" w:hAnsi="Garamond"/>
          <w:b/>
          <w:sz w:val="28"/>
        </w:rPr>
        <w:t xml:space="preserve">sections </w:t>
      </w:r>
      <w:r w:rsidRPr="002D7985">
        <w:rPr>
          <w:rFonts w:ascii="Garamond" w:hAnsi="Garamond"/>
          <w:b/>
          <w:sz w:val="28"/>
        </w:rPr>
        <w:t>1129(b</w:t>
      </w:r>
      <w:proofErr w:type="gramStart"/>
      <w:r w:rsidRPr="002D7985">
        <w:rPr>
          <w:rFonts w:ascii="Garamond" w:hAnsi="Garamond"/>
          <w:b/>
          <w:sz w:val="28"/>
        </w:rPr>
        <w:t>)(</w:t>
      </w:r>
      <w:proofErr w:type="gramEnd"/>
      <w:r w:rsidRPr="002D7985">
        <w:rPr>
          <w:rFonts w:ascii="Garamond" w:hAnsi="Garamond"/>
          <w:b/>
          <w:sz w:val="28"/>
        </w:rPr>
        <w:t>2)(B)(ii) and 1115 demonstrate that the absolute priority rule no longer applies to individual debtors</w:t>
      </w:r>
      <w:r w:rsidRPr="002D7985">
        <w:rPr>
          <w:rFonts w:ascii="Garamond" w:hAnsi="Garamond"/>
          <w:sz w:val="28"/>
        </w:rPr>
        <w:t>.</w:t>
      </w:r>
    </w:p>
    <w:p w:rsidR="00607BFE" w:rsidRPr="002D7985" w:rsidRDefault="00607BFE" w:rsidP="00607BFE">
      <w:pPr>
        <w:rPr>
          <w:rFonts w:ascii="Garamond" w:hAnsi="Garamond"/>
          <w:sz w:val="28"/>
        </w:rPr>
      </w:pPr>
    </w:p>
    <w:p w:rsidR="00607BFE" w:rsidRPr="00292ADA" w:rsidRDefault="00607BFE" w:rsidP="00292A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spacing w:line="480" w:lineRule="auto"/>
        <w:ind w:firstLine="720"/>
        <w:rPr>
          <w:rFonts w:ascii="Garamond" w:hAnsi="Garamond"/>
          <w:i/>
          <w:sz w:val="28"/>
        </w:rPr>
      </w:pPr>
      <w:r w:rsidRPr="002D7985">
        <w:rPr>
          <w:rFonts w:ascii="Garamond" w:hAnsi="Garamond"/>
          <w:sz w:val="28"/>
        </w:rPr>
        <w:t>The starting point for the court's inquiry should be the st</w:t>
      </w:r>
      <w:r w:rsidR="00D917FC">
        <w:rPr>
          <w:rFonts w:ascii="Garamond" w:hAnsi="Garamond"/>
          <w:sz w:val="28"/>
        </w:rPr>
        <w:t>atutory language of 11 U.S.C. §§ 1115 and 1129(b</w:t>
      </w:r>
      <w:proofErr w:type="gramStart"/>
      <w:r w:rsidR="00D917FC">
        <w:rPr>
          <w:rFonts w:ascii="Garamond" w:hAnsi="Garamond"/>
          <w:sz w:val="28"/>
        </w:rPr>
        <w:t>)(</w:t>
      </w:r>
      <w:proofErr w:type="gramEnd"/>
      <w:r w:rsidR="00D917FC">
        <w:rPr>
          <w:rFonts w:ascii="Garamond" w:hAnsi="Garamond"/>
          <w:sz w:val="28"/>
        </w:rPr>
        <w:t>2)(B)(2).</w:t>
      </w:r>
      <w:r w:rsidR="00292ADA" w:rsidRPr="00292ADA">
        <w:rPr>
          <w:rFonts w:ascii="Garamond" w:eastAsiaTheme="minorHAnsi" w:hAnsi="Garamond" w:cs="Garamond"/>
          <w:bCs w:val="0"/>
          <w:i/>
          <w:iCs/>
          <w:color w:val="000000"/>
          <w:sz w:val="27"/>
          <w:szCs w:val="27"/>
        </w:rPr>
        <w:t xml:space="preserve"> </w:t>
      </w:r>
      <w:r w:rsidRPr="002D7985">
        <w:rPr>
          <w:rFonts w:ascii="Garamond" w:hAnsi="Garamond"/>
          <w:i/>
          <w:sz w:val="28"/>
        </w:rPr>
        <w:t>See</w:t>
      </w:r>
      <w:r w:rsidRPr="002D7985">
        <w:rPr>
          <w:rFonts w:ascii="Garamond" w:hAnsi="Garamond"/>
          <w:sz w:val="28"/>
        </w:rPr>
        <w:t xml:space="preserve"> </w:t>
      </w:r>
      <w:proofErr w:type="spellStart"/>
      <w:r w:rsidRPr="002D7985">
        <w:rPr>
          <w:rFonts w:ascii="Garamond" w:hAnsi="Garamond"/>
          <w:i/>
          <w:sz w:val="28"/>
        </w:rPr>
        <w:t>Lamie</w:t>
      </w:r>
      <w:proofErr w:type="spellEnd"/>
      <w:r w:rsidRPr="002D7985">
        <w:rPr>
          <w:rFonts w:ascii="Garamond" w:hAnsi="Garamond"/>
          <w:i/>
          <w:sz w:val="28"/>
        </w:rPr>
        <w:t xml:space="preserve"> v. U.S. Trustee</w:t>
      </w:r>
      <w:r w:rsidRPr="002D7985">
        <w:rPr>
          <w:rFonts w:ascii="Garamond" w:hAnsi="Garamond"/>
          <w:sz w:val="28"/>
        </w:rPr>
        <w:t xml:space="preserve">, 540 U.S. 526, 534, 124 </w:t>
      </w:r>
      <w:proofErr w:type="spellStart"/>
      <w:r w:rsidRPr="002D7985">
        <w:rPr>
          <w:rFonts w:ascii="Garamond" w:hAnsi="Garamond"/>
          <w:sz w:val="28"/>
        </w:rPr>
        <w:t>S.Ct</w:t>
      </w:r>
      <w:proofErr w:type="spellEnd"/>
      <w:r w:rsidRPr="002D7985">
        <w:rPr>
          <w:rFonts w:ascii="Garamond" w:hAnsi="Garamond"/>
          <w:sz w:val="28"/>
        </w:rPr>
        <w:t xml:space="preserve">. 1023, 1030 (2004).  It </w:t>
      </w:r>
      <w:r>
        <w:rPr>
          <w:rFonts w:ascii="Garamond" w:hAnsi="Garamond"/>
          <w:sz w:val="28"/>
        </w:rPr>
        <w:t xml:space="preserve">is </w:t>
      </w:r>
      <w:r w:rsidRPr="002D7985">
        <w:rPr>
          <w:rFonts w:ascii="Garamond" w:hAnsi="Garamond"/>
          <w:sz w:val="28"/>
        </w:rPr>
        <w:t xml:space="preserve">well established that when the "statute's language is plain, the sole function of the court, at least where the disposition required by the text is not absurd, is to enforce it according to its terms."  </w:t>
      </w:r>
      <w:proofErr w:type="gramStart"/>
      <w:r w:rsidRPr="002D7985">
        <w:rPr>
          <w:rFonts w:ascii="Garamond" w:hAnsi="Garamond"/>
          <w:i/>
          <w:sz w:val="28"/>
        </w:rPr>
        <w:t>Hartford Underwriters Ins. Co. v. Union Planters Bank, N.A.</w:t>
      </w:r>
      <w:r w:rsidRPr="002D7985">
        <w:rPr>
          <w:rFonts w:ascii="Garamond" w:hAnsi="Garamond"/>
          <w:sz w:val="28"/>
        </w:rPr>
        <w:t>, 530 U.S. 1, 6 (2000) (internal quotations omitted).</w:t>
      </w:r>
      <w:proofErr w:type="gramEnd"/>
      <w:r w:rsidRPr="002D7985">
        <w:rPr>
          <w:rFonts w:ascii="Garamond" w:hAnsi="Garamond"/>
          <w:sz w:val="28"/>
        </w:rPr>
        <w:t xml:space="preserve"> A result will be deemed absurd only if it is unthinkable, bizarre or demonstrably at odds with the intentions of its drafters.  </w:t>
      </w:r>
      <w:r w:rsidRPr="002D7985">
        <w:rPr>
          <w:rFonts w:ascii="Garamond" w:hAnsi="Garamond"/>
          <w:i/>
          <w:sz w:val="28"/>
        </w:rPr>
        <w:t xml:space="preserve">See In re </w:t>
      </w:r>
      <w:proofErr w:type="spellStart"/>
      <w:r w:rsidRPr="002D7985">
        <w:rPr>
          <w:rFonts w:ascii="Garamond" w:hAnsi="Garamond"/>
          <w:i/>
          <w:sz w:val="28"/>
        </w:rPr>
        <w:t>Spradlin</w:t>
      </w:r>
      <w:proofErr w:type="spellEnd"/>
      <w:r w:rsidRPr="002D7985">
        <w:rPr>
          <w:rFonts w:ascii="Garamond" w:hAnsi="Garamond"/>
          <w:sz w:val="28"/>
        </w:rPr>
        <w:t xml:space="preserve">, </w:t>
      </w:r>
      <w:proofErr w:type="gramStart"/>
      <w:r w:rsidRPr="002D7985">
        <w:rPr>
          <w:rFonts w:ascii="Garamond" w:hAnsi="Garamond"/>
          <w:sz w:val="28"/>
        </w:rPr>
        <w:t>231 B.R. 254, 260</w:t>
      </w:r>
      <w:proofErr w:type="gramEnd"/>
      <w:r w:rsidRPr="002D7985">
        <w:rPr>
          <w:rFonts w:ascii="Garamond" w:hAnsi="Garamond"/>
          <w:sz w:val="28"/>
        </w:rPr>
        <w:t xml:space="preserve"> (</w:t>
      </w:r>
      <w:proofErr w:type="spellStart"/>
      <w:r w:rsidRPr="002D7985">
        <w:rPr>
          <w:rFonts w:ascii="Garamond" w:hAnsi="Garamond"/>
          <w:sz w:val="28"/>
        </w:rPr>
        <w:t>Bankr</w:t>
      </w:r>
      <w:proofErr w:type="spellEnd"/>
      <w:r w:rsidRPr="002D7985">
        <w:rPr>
          <w:rFonts w:ascii="Garamond" w:hAnsi="Garamond"/>
          <w:sz w:val="28"/>
        </w:rPr>
        <w:t xml:space="preserve">. E.D. Mich. 1999) (citing </w:t>
      </w:r>
      <w:r w:rsidRPr="002D7985">
        <w:rPr>
          <w:rFonts w:ascii="Garamond" w:hAnsi="Garamond"/>
          <w:i/>
          <w:sz w:val="28"/>
        </w:rPr>
        <w:t>Public Citizen v. Dept of Justice</w:t>
      </w:r>
      <w:r w:rsidRPr="002D7985">
        <w:rPr>
          <w:rFonts w:ascii="Garamond" w:hAnsi="Garamond"/>
          <w:sz w:val="28"/>
        </w:rPr>
        <w:t>, 491 U.S. 440, 109 S. Ct. 2558, 105 L.Ed.2d. 377 (1989))</w:t>
      </w:r>
      <w:r>
        <w:rPr>
          <w:rFonts w:ascii="Garamond" w:hAnsi="Garamond"/>
          <w:sz w:val="28"/>
        </w:rPr>
        <w:t>.</w:t>
      </w:r>
    </w:p>
    <w:p w:rsidR="00607BFE" w:rsidRDefault="00607BFE" w:rsidP="00607B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spacing w:line="480" w:lineRule="auto"/>
        <w:ind w:firstLine="720"/>
        <w:rPr>
          <w:rFonts w:ascii="Garamond" w:hAnsi="Garamond"/>
          <w:sz w:val="28"/>
        </w:rPr>
      </w:pPr>
      <w:r w:rsidRPr="002D7985">
        <w:rPr>
          <w:rFonts w:ascii="Garamond" w:hAnsi="Garamond"/>
          <w:sz w:val="28"/>
        </w:rPr>
        <w:t>Section 1129(b</w:t>
      </w:r>
      <w:proofErr w:type="gramStart"/>
      <w:r w:rsidRPr="002D7985">
        <w:rPr>
          <w:rFonts w:ascii="Garamond" w:hAnsi="Garamond"/>
          <w:sz w:val="28"/>
        </w:rPr>
        <w:t>)(</w:t>
      </w:r>
      <w:proofErr w:type="gramEnd"/>
      <w:r w:rsidRPr="002D7985">
        <w:rPr>
          <w:rFonts w:ascii="Garamond" w:hAnsi="Garamond"/>
          <w:sz w:val="28"/>
        </w:rPr>
        <w:t>2)(B)(ii) permits the debtor to retain “property included in the estate under section 1115.” Section 1115</w:t>
      </w:r>
      <w:r>
        <w:rPr>
          <w:rFonts w:ascii="Garamond" w:hAnsi="Garamond"/>
          <w:sz w:val="28"/>
        </w:rPr>
        <w:t>(a)</w:t>
      </w:r>
      <w:r w:rsidRPr="002D7985">
        <w:rPr>
          <w:rFonts w:ascii="Garamond" w:hAnsi="Garamond"/>
          <w:sz w:val="28"/>
        </w:rPr>
        <w:t xml:space="preserve"> provides that property of the estate </w:t>
      </w:r>
      <w:r>
        <w:rPr>
          <w:rFonts w:ascii="Garamond" w:hAnsi="Garamond"/>
          <w:sz w:val="28"/>
        </w:rPr>
        <w:t xml:space="preserve">of an individual Chapter 11 debtor </w:t>
      </w:r>
      <w:r w:rsidRPr="002D7985">
        <w:rPr>
          <w:rFonts w:ascii="Garamond" w:hAnsi="Garamond"/>
          <w:sz w:val="28"/>
        </w:rPr>
        <w:t>includes</w:t>
      </w:r>
      <w:r>
        <w:rPr>
          <w:rFonts w:ascii="Garamond" w:hAnsi="Garamond"/>
          <w:sz w:val="28"/>
        </w:rPr>
        <w:t xml:space="preserve"> the following:</w:t>
      </w:r>
    </w:p>
    <w:p w:rsidR="00607BFE" w:rsidRDefault="00607BFE" w:rsidP="00607BFE">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rPr>
          <w:rFonts w:ascii="Garamond" w:hAnsi="Garamond"/>
          <w:sz w:val="28"/>
        </w:rPr>
      </w:pPr>
      <w:r w:rsidRPr="00F315C6">
        <w:rPr>
          <w:rFonts w:ascii="Garamond" w:hAnsi="Garamond"/>
          <w:sz w:val="28"/>
        </w:rPr>
        <w:t>The property specified in section 541;</w:t>
      </w:r>
    </w:p>
    <w:p w:rsidR="00607BFE" w:rsidRDefault="00607BFE" w:rsidP="00607BFE">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rPr>
          <w:rFonts w:ascii="Garamond" w:hAnsi="Garamond"/>
          <w:sz w:val="28"/>
        </w:rPr>
      </w:pPr>
      <w:r>
        <w:rPr>
          <w:rFonts w:ascii="Garamond" w:hAnsi="Garamond"/>
          <w:sz w:val="28"/>
        </w:rPr>
        <w:t>All section 541-type property acquired post-petition; and</w:t>
      </w:r>
    </w:p>
    <w:p w:rsidR="00607BFE" w:rsidRDefault="00607BFE" w:rsidP="00607BFE">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rPr>
          <w:rFonts w:ascii="Garamond" w:hAnsi="Garamond"/>
          <w:sz w:val="28"/>
        </w:rPr>
      </w:pPr>
      <w:r>
        <w:rPr>
          <w:rFonts w:ascii="Garamond" w:hAnsi="Garamond"/>
          <w:sz w:val="28"/>
        </w:rPr>
        <w:t>Earnings from post-petition wages.</w:t>
      </w:r>
    </w:p>
    <w:p w:rsidR="00607BFE" w:rsidRDefault="00607BFE" w:rsidP="00607BF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ind w:left="1440"/>
        <w:rPr>
          <w:rFonts w:ascii="Garamond" w:hAnsi="Garamond"/>
          <w:sz w:val="28"/>
        </w:rPr>
      </w:pPr>
    </w:p>
    <w:p w:rsidR="00607BFE" w:rsidRPr="002D7985" w:rsidRDefault="00607BFE" w:rsidP="00607B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spacing w:line="480" w:lineRule="auto"/>
        <w:ind w:firstLine="720"/>
        <w:rPr>
          <w:rFonts w:ascii="Garamond" w:hAnsi="Garamond"/>
          <w:sz w:val="28"/>
        </w:rPr>
      </w:pPr>
      <w:r w:rsidRPr="002D7985">
        <w:rPr>
          <w:rFonts w:ascii="Garamond" w:hAnsi="Garamond"/>
          <w:sz w:val="28"/>
        </w:rPr>
        <w:t xml:space="preserve">The natural reading of the plain language demonstrates that section 1115 broadly defines property of the estate to </w:t>
      </w:r>
      <w:r w:rsidRPr="002D7985">
        <w:rPr>
          <w:rFonts w:ascii="Garamond" w:hAnsi="Garamond"/>
          <w:b/>
          <w:i/>
          <w:sz w:val="28"/>
        </w:rPr>
        <w:t>include</w:t>
      </w:r>
      <w:r w:rsidRPr="002D7985">
        <w:rPr>
          <w:rFonts w:ascii="Garamond" w:hAnsi="Garamond"/>
          <w:sz w:val="28"/>
        </w:rPr>
        <w:t xml:space="preserve"> property specified in section 541 as well as property acquired post-petition and earnings from services performed post-petition.  </w:t>
      </w:r>
      <w:r w:rsidRPr="002D7985">
        <w:rPr>
          <w:rFonts w:ascii="Garamond" w:hAnsi="Garamond"/>
          <w:i/>
          <w:sz w:val="28"/>
        </w:rPr>
        <w:t xml:space="preserve">See In re </w:t>
      </w:r>
      <w:proofErr w:type="spellStart"/>
      <w:r w:rsidRPr="002D7985">
        <w:rPr>
          <w:rFonts w:ascii="Garamond" w:hAnsi="Garamond"/>
          <w:i/>
          <w:sz w:val="28"/>
        </w:rPr>
        <w:t>Tegeder</w:t>
      </w:r>
      <w:proofErr w:type="spellEnd"/>
      <w:r w:rsidRPr="002D7985">
        <w:rPr>
          <w:rFonts w:ascii="Garamond" w:hAnsi="Garamond"/>
          <w:sz w:val="28"/>
        </w:rPr>
        <w:t xml:space="preserve">, </w:t>
      </w:r>
      <w:proofErr w:type="gramStart"/>
      <w:r w:rsidRPr="002D7985">
        <w:rPr>
          <w:rFonts w:ascii="Garamond" w:hAnsi="Garamond"/>
          <w:sz w:val="28"/>
        </w:rPr>
        <w:t>369 B.R. 477</w:t>
      </w:r>
      <w:proofErr w:type="gramEnd"/>
      <w:r w:rsidRPr="002D7985">
        <w:rPr>
          <w:rFonts w:ascii="Garamond" w:hAnsi="Garamond"/>
          <w:sz w:val="28"/>
        </w:rPr>
        <w:t xml:space="preserve"> (</w:t>
      </w:r>
      <w:proofErr w:type="spellStart"/>
      <w:r w:rsidRPr="002D7985">
        <w:rPr>
          <w:rFonts w:ascii="Garamond" w:hAnsi="Garamond"/>
          <w:sz w:val="28"/>
        </w:rPr>
        <w:t>Bankr</w:t>
      </w:r>
      <w:proofErr w:type="spellEnd"/>
      <w:r w:rsidRPr="002D7985">
        <w:rPr>
          <w:rFonts w:ascii="Garamond" w:hAnsi="Garamond"/>
          <w:sz w:val="28"/>
        </w:rPr>
        <w:t xml:space="preserve">. </w:t>
      </w:r>
      <w:proofErr w:type="gramStart"/>
      <w:r w:rsidRPr="002D7985">
        <w:rPr>
          <w:rFonts w:ascii="Garamond" w:hAnsi="Garamond"/>
          <w:sz w:val="28"/>
        </w:rPr>
        <w:t xml:space="preserve">D. Neb. 2007); </w:t>
      </w:r>
      <w:r w:rsidRPr="002D7985">
        <w:rPr>
          <w:rFonts w:ascii="Garamond" w:hAnsi="Garamond"/>
          <w:i/>
          <w:sz w:val="28"/>
        </w:rPr>
        <w:t>In re Bullard</w:t>
      </w:r>
      <w:r w:rsidRPr="002D7985">
        <w:rPr>
          <w:rFonts w:ascii="Garamond" w:hAnsi="Garamond"/>
          <w:sz w:val="28"/>
        </w:rPr>
        <w:t>, 358 B.R. 541 (</w:t>
      </w:r>
      <w:proofErr w:type="spellStart"/>
      <w:r w:rsidRPr="002D7985">
        <w:rPr>
          <w:rFonts w:ascii="Garamond" w:hAnsi="Garamond"/>
          <w:sz w:val="28"/>
        </w:rPr>
        <w:t>Bankr</w:t>
      </w:r>
      <w:proofErr w:type="spellEnd"/>
      <w:r w:rsidRPr="002D7985">
        <w:rPr>
          <w:rFonts w:ascii="Garamond" w:hAnsi="Garamond"/>
          <w:sz w:val="28"/>
        </w:rPr>
        <w:t>.</w:t>
      </w:r>
      <w:proofErr w:type="gramEnd"/>
      <w:r w:rsidRPr="002D7985">
        <w:rPr>
          <w:rFonts w:ascii="Garamond" w:hAnsi="Garamond"/>
          <w:sz w:val="28"/>
        </w:rPr>
        <w:t xml:space="preserve"> D. Conn. 2007).  The word “includes” is not limiting, but rather logically encompasses everything that follows.  </w:t>
      </w:r>
      <w:r w:rsidRPr="002D7985">
        <w:rPr>
          <w:rFonts w:ascii="Garamond" w:hAnsi="Garamond"/>
          <w:i/>
          <w:sz w:val="28"/>
        </w:rPr>
        <w:t xml:space="preserve">See </w:t>
      </w:r>
      <w:r>
        <w:rPr>
          <w:rFonts w:ascii="Garamond" w:hAnsi="Garamond"/>
          <w:sz w:val="28"/>
        </w:rPr>
        <w:t xml:space="preserve">11 U.S.C. § 102(3); </w:t>
      </w:r>
      <w:r w:rsidRPr="00D66C98">
        <w:rPr>
          <w:rFonts w:ascii="Garamond" w:hAnsi="Garamond"/>
          <w:i/>
          <w:sz w:val="28"/>
        </w:rPr>
        <w:t>see</w:t>
      </w:r>
      <w:r>
        <w:rPr>
          <w:rFonts w:ascii="Garamond" w:hAnsi="Garamond"/>
          <w:i/>
          <w:sz w:val="28"/>
        </w:rPr>
        <w:t xml:space="preserve"> also</w:t>
      </w:r>
      <w:r w:rsidRPr="00D66C98">
        <w:rPr>
          <w:rFonts w:ascii="Garamond" w:hAnsi="Garamond"/>
          <w:i/>
          <w:sz w:val="28"/>
        </w:rPr>
        <w:t xml:space="preserve"> Burgess v. U.S</w:t>
      </w:r>
      <w:r>
        <w:rPr>
          <w:rFonts w:ascii="Garamond" w:hAnsi="Garamond"/>
          <w:sz w:val="28"/>
        </w:rPr>
        <w:t>., 553 U.S. 124, n.3 (2008</w:t>
      </w:r>
      <w:proofErr w:type="gramStart"/>
      <w:r>
        <w:rPr>
          <w:rFonts w:ascii="Garamond" w:hAnsi="Garamond"/>
          <w:sz w:val="28"/>
        </w:rPr>
        <w:t>)(</w:t>
      </w:r>
      <w:proofErr w:type="gramEnd"/>
      <w:r>
        <w:rPr>
          <w:rFonts w:ascii="Garamond" w:hAnsi="Garamond"/>
          <w:sz w:val="28"/>
        </w:rPr>
        <w:t xml:space="preserve">‘The word ‘includes’ is usually a term of enlargement, and not of limitation’), </w:t>
      </w:r>
      <w:r w:rsidRPr="00D66C98">
        <w:rPr>
          <w:rFonts w:ascii="Garamond" w:hAnsi="Garamond"/>
          <w:i/>
          <w:sz w:val="28"/>
        </w:rPr>
        <w:t>citing</w:t>
      </w:r>
      <w:r>
        <w:rPr>
          <w:rFonts w:ascii="Garamond" w:hAnsi="Garamond"/>
          <w:sz w:val="28"/>
        </w:rPr>
        <w:t xml:space="preserve"> 2A N. Singer &amp; J. Singer, Sutherland on Statutory Construction § 47:7, p. 305 (7</w:t>
      </w:r>
      <w:r w:rsidRPr="00D66C98">
        <w:rPr>
          <w:rFonts w:ascii="Garamond" w:hAnsi="Garamond"/>
          <w:sz w:val="28"/>
          <w:vertAlign w:val="superscript"/>
        </w:rPr>
        <w:t>th</w:t>
      </w:r>
      <w:r>
        <w:rPr>
          <w:rFonts w:ascii="Garamond" w:hAnsi="Garamond"/>
          <w:sz w:val="28"/>
        </w:rPr>
        <w:t xml:space="preserve"> ed. 2007).  In this case what follows is both property as specified in section 541 and a list of additional items that will be considered property of the estate.</w:t>
      </w:r>
    </w:p>
    <w:p w:rsidR="00607BFE" w:rsidRDefault="00607BFE" w:rsidP="00607B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spacing w:line="480" w:lineRule="auto"/>
        <w:ind w:firstLine="720"/>
        <w:rPr>
          <w:rFonts w:ascii="Garamond" w:hAnsi="Garamond"/>
          <w:sz w:val="28"/>
        </w:rPr>
      </w:pPr>
      <w:r>
        <w:rPr>
          <w:rFonts w:ascii="Garamond" w:hAnsi="Garamond"/>
          <w:sz w:val="28"/>
        </w:rPr>
        <w:t xml:space="preserve">Courts agreed that the exception to the absolute priority rule encompassed both pre-petition and post-petition property for individual debtors until the court in </w:t>
      </w:r>
      <w:proofErr w:type="spellStart"/>
      <w:r w:rsidRPr="002D7985">
        <w:rPr>
          <w:rFonts w:ascii="Garamond" w:hAnsi="Garamond"/>
          <w:i/>
          <w:sz w:val="28"/>
        </w:rPr>
        <w:t>In</w:t>
      </w:r>
      <w:proofErr w:type="spellEnd"/>
      <w:r w:rsidRPr="002D7985">
        <w:rPr>
          <w:rFonts w:ascii="Garamond" w:hAnsi="Garamond"/>
          <w:i/>
          <w:sz w:val="28"/>
        </w:rPr>
        <w:t xml:space="preserve"> re </w:t>
      </w:r>
      <w:proofErr w:type="spellStart"/>
      <w:r w:rsidRPr="002D7985">
        <w:rPr>
          <w:rFonts w:ascii="Garamond" w:hAnsi="Garamond"/>
          <w:i/>
          <w:sz w:val="28"/>
        </w:rPr>
        <w:t>Gbadebo</w:t>
      </w:r>
      <w:proofErr w:type="spellEnd"/>
      <w:r w:rsidRPr="002D7985">
        <w:rPr>
          <w:rFonts w:ascii="Garamond" w:hAnsi="Garamond"/>
          <w:sz w:val="28"/>
        </w:rPr>
        <w:t>, 341 B.R. 222 (</w:t>
      </w:r>
      <w:proofErr w:type="spellStart"/>
      <w:r w:rsidRPr="002D7985">
        <w:rPr>
          <w:rFonts w:ascii="Garamond" w:hAnsi="Garamond"/>
          <w:sz w:val="28"/>
        </w:rPr>
        <w:t>Bankr</w:t>
      </w:r>
      <w:proofErr w:type="spellEnd"/>
      <w:r w:rsidRPr="002D7985">
        <w:rPr>
          <w:rFonts w:ascii="Garamond" w:hAnsi="Garamond"/>
          <w:sz w:val="28"/>
        </w:rPr>
        <w:t>. N.D. Cal. 2010), reached the opposite result</w:t>
      </w:r>
      <w:r>
        <w:rPr>
          <w:rFonts w:ascii="Garamond" w:hAnsi="Garamond"/>
          <w:sz w:val="28"/>
        </w:rPr>
        <w:t xml:space="preserve">.  Subsequently, several courts have followed </w:t>
      </w:r>
      <w:proofErr w:type="spellStart"/>
      <w:r w:rsidRPr="001F7B20">
        <w:rPr>
          <w:rFonts w:ascii="Garamond" w:hAnsi="Garamond"/>
          <w:i/>
          <w:sz w:val="28"/>
        </w:rPr>
        <w:t>Gbadebo</w:t>
      </w:r>
      <w:proofErr w:type="spellEnd"/>
      <w:r>
        <w:rPr>
          <w:rFonts w:ascii="Garamond" w:hAnsi="Garamond"/>
          <w:sz w:val="28"/>
        </w:rPr>
        <w:t xml:space="preserve"> in holding that the absolute priority rule still applies to individual debtors.  </w:t>
      </w:r>
      <w:proofErr w:type="gramStart"/>
      <w:r w:rsidRPr="005B16AE">
        <w:rPr>
          <w:rFonts w:ascii="Garamond" w:hAnsi="Garamond"/>
          <w:i/>
          <w:sz w:val="28"/>
        </w:rPr>
        <w:t xml:space="preserve">See, e.g., In re </w:t>
      </w:r>
      <w:proofErr w:type="spellStart"/>
      <w:r w:rsidRPr="005B16AE">
        <w:rPr>
          <w:rFonts w:ascii="Garamond" w:hAnsi="Garamond"/>
          <w:i/>
          <w:sz w:val="28"/>
        </w:rPr>
        <w:t>Kamell</w:t>
      </w:r>
      <w:proofErr w:type="spellEnd"/>
      <w:r>
        <w:rPr>
          <w:rFonts w:ascii="Garamond" w:hAnsi="Garamond"/>
          <w:sz w:val="28"/>
        </w:rPr>
        <w:t>, 2011 WL 1760282 (</w:t>
      </w:r>
      <w:proofErr w:type="spellStart"/>
      <w:r>
        <w:rPr>
          <w:rFonts w:ascii="Garamond" w:hAnsi="Garamond"/>
          <w:sz w:val="28"/>
        </w:rPr>
        <w:t>Bankr</w:t>
      </w:r>
      <w:proofErr w:type="spellEnd"/>
      <w:r>
        <w:rPr>
          <w:rFonts w:ascii="Garamond" w:hAnsi="Garamond"/>
          <w:sz w:val="28"/>
        </w:rPr>
        <w:t>.</w:t>
      </w:r>
      <w:proofErr w:type="gramEnd"/>
      <w:r>
        <w:rPr>
          <w:rFonts w:ascii="Garamond" w:hAnsi="Garamond"/>
          <w:sz w:val="28"/>
        </w:rPr>
        <w:t xml:space="preserve"> </w:t>
      </w:r>
      <w:proofErr w:type="gramStart"/>
      <w:r>
        <w:rPr>
          <w:rFonts w:ascii="Garamond" w:hAnsi="Garamond"/>
          <w:sz w:val="28"/>
        </w:rPr>
        <w:t xml:space="preserve">C.D. Cal. May 4, 2011); </w:t>
      </w:r>
      <w:r w:rsidRPr="005B16AE">
        <w:rPr>
          <w:rFonts w:ascii="Garamond" w:hAnsi="Garamond"/>
          <w:i/>
          <w:sz w:val="28"/>
        </w:rPr>
        <w:t xml:space="preserve">In re </w:t>
      </w:r>
      <w:proofErr w:type="spellStart"/>
      <w:r w:rsidRPr="005B16AE">
        <w:rPr>
          <w:rFonts w:ascii="Garamond" w:hAnsi="Garamond"/>
          <w:i/>
          <w:sz w:val="28"/>
        </w:rPr>
        <w:t>Maharaj</w:t>
      </w:r>
      <w:proofErr w:type="spellEnd"/>
      <w:r>
        <w:rPr>
          <w:rFonts w:ascii="Garamond" w:hAnsi="Garamond"/>
          <w:sz w:val="28"/>
        </w:rPr>
        <w:t>, 2011 WL 1753795 (</w:t>
      </w:r>
      <w:proofErr w:type="spellStart"/>
      <w:r>
        <w:rPr>
          <w:rFonts w:ascii="Garamond" w:hAnsi="Garamond"/>
          <w:sz w:val="28"/>
        </w:rPr>
        <w:t>Bankr</w:t>
      </w:r>
      <w:proofErr w:type="spellEnd"/>
      <w:r>
        <w:rPr>
          <w:rFonts w:ascii="Garamond" w:hAnsi="Garamond"/>
          <w:sz w:val="28"/>
        </w:rPr>
        <w:t>.</w:t>
      </w:r>
      <w:proofErr w:type="gramEnd"/>
      <w:r>
        <w:rPr>
          <w:rFonts w:ascii="Garamond" w:hAnsi="Garamond"/>
          <w:sz w:val="28"/>
        </w:rPr>
        <w:t xml:space="preserve"> </w:t>
      </w:r>
      <w:proofErr w:type="gramStart"/>
      <w:r>
        <w:rPr>
          <w:rFonts w:ascii="Garamond" w:hAnsi="Garamond"/>
          <w:sz w:val="28"/>
        </w:rPr>
        <w:t xml:space="preserve">E.D. Va. May 9, 2011); </w:t>
      </w:r>
      <w:r w:rsidRPr="005B16AE">
        <w:rPr>
          <w:rFonts w:ascii="Garamond" w:hAnsi="Garamond"/>
          <w:i/>
          <w:sz w:val="28"/>
        </w:rPr>
        <w:t xml:space="preserve">In re </w:t>
      </w:r>
      <w:proofErr w:type="spellStart"/>
      <w:r w:rsidRPr="005B16AE">
        <w:rPr>
          <w:rFonts w:ascii="Garamond" w:hAnsi="Garamond"/>
          <w:i/>
          <w:sz w:val="28"/>
        </w:rPr>
        <w:t>Steedley</w:t>
      </w:r>
      <w:proofErr w:type="spellEnd"/>
      <w:r>
        <w:rPr>
          <w:rFonts w:ascii="Garamond" w:hAnsi="Garamond"/>
          <w:sz w:val="28"/>
        </w:rPr>
        <w:t>, 2010 WL 3528599 (</w:t>
      </w:r>
      <w:proofErr w:type="spellStart"/>
      <w:r>
        <w:rPr>
          <w:rFonts w:ascii="Garamond" w:hAnsi="Garamond"/>
          <w:sz w:val="28"/>
        </w:rPr>
        <w:t>Bankr</w:t>
      </w:r>
      <w:proofErr w:type="spellEnd"/>
      <w:r>
        <w:rPr>
          <w:rFonts w:ascii="Garamond" w:hAnsi="Garamond"/>
          <w:sz w:val="28"/>
        </w:rPr>
        <w:t>.</w:t>
      </w:r>
      <w:proofErr w:type="gramEnd"/>
      <w:r>
        <w:rPr>
          <w:rFonts w:ascii="Garamond" w:hAnsi="Garamond"/>
          <w:sz w:val="28"/>
        </w:rPr>
        <w:t xml:space="preserve"> S.D. Ga. Aug. 27, 2010).  However, a close analysis of </w:t>
      </w:r>
      <w:proofErr w:type="spellStart"/>
      <w:r w:rsidRPr="001F7B20">
        <w:rPr>
          <w:rFonts w:ascii="Garamond" w:hAnsi="Garamond"/>
          <w:i/>
          <w:sz w:val="28"/>
        </w:rPr>
        <w:t>Gbadebo</w:t>
      </w:r>
      <w:proofErr w:type="spellEnd"/>
      <w:r>
        <w:rPr>
          <w:rFonts w:ascii="Garamond" w:hAnsi="Garamond"/>
          <w:sz w:val="28"/>
        </w:rPr>
        <w:t xml:space="preserve"> demonstrates that this line of cases is based on a rewriting of the statutory language.  </w:t>
      </w:r>
      <w:r w:rsidRPr="002D7985">
        <w:rPr>
          <w:rFonts w:ascii="Garamond" w:hAnsi="Garamond"/>
          <w:sz w:val="28"/>
        </w:rPr>
        <w:t xml:space="preserve"> </w:t>
      </w:r>
    </w:p>
    <w:p w:rsidR="00607BFE" w:rsidRDefault="00607BFE" w:rsidP="00607B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spacing w:line="480" w:lineRule="auto"/>
        <w:ind w:firstLine="720"/>
        <w:rPr>
          <w:rFonts w:ascii="Garamond" w:hAnsi="Garamond"/>
          <w:sz w:val="28"/>
        </w:rPr>
      </w:pPr>
      <w:r>
        <w:rPr>
          <w:rFonts w:ascii="Garamond" w:hAnsi="Garamond"/>
          <w:sz w:val="28"/>
        </w:rPr>
        <w:t xml:space="preserve">In </w:t>
      </w:r>
      <w:proofErr w:type="spellStart"/>
      <w:r w:rsidRPr="000F7630">
        <w:rPr>
          <w:rFonts w:ascii="Garamond" w:hAnsi="Garamond"/>
          <w:i/>
          <w:sz w:val="28"/>
        </w:rPr>
        <w:t>Gdabedo</w:t>
      </w:r>
      <w:proofErr w:type="spellEnd"/>
      <w:r>
        <w:rPr>
          <w:rFonts w:ascii="Garamond" w:hAnsi="Garamond"/>
          <w:sz w:val="28"/>
        </w:rPr>
        <w:t xml:space="preserve">, the debtor, a licensed engineer and sole shareholder of his engineering firm, filed a chapter 11 plan that proposed to retain the debtor’s equity interest in the estate, strip down judgment liens on real property and treat the underlying judgment debt as a general unsecured claim.  </w:t>
      </w:r>
      <w:r w:rsidRPr="009D01D1">
        <w:rPr>
          <w:rFonts w:ascii="Garamond" w:hAnsi="Garamond"/>
          <w:i/>
          <w:sz w:val="28"/>
        </w:rPr>
        <w:t>Id</w:t>
      </w:r>
      <w:r>
        <w:rPr>
          <w:rFonts w:ascii="Garamond" w:hAnsi="Garamond"/>
          <w:sz w:val="28"/>
        </w:rPr>
        <w:t xml:space="preserve">.  The plan proposed to pay approximately a 2.6% distribution to unsecured creditors over 60 months.  </w:t>
      </w:r>
      <w:proofErr w:type="gramStart"/>
      <w:r w:rsidRPr="009D01D1">
        <w:rPr>
          <w:rFonts w:ascii="Garamond" w:hAnsi="Garamond"/>
          <w:i/>
          <w:sz w:val="28"/>
        </w:rPr>
        <w:t>Id</w:t>
      </w:r>
      <w:r>
        <w:rPr>
          <w:rFonts w:ascii="Garamond" w:hAnsi="Garamond"/>
          <w:sz w:val="28"/>
        </w:rPr>
        <w:t>. at 225.</w:t>
      </w:r>
      <w:proofErr w:type="gramEnd"/>
      <w:r>
        <w:rPr>
          <w:rFonts w:ascii="Garamond" w:hAnsi="Garamond"/>
          <w:sz w:val="28"/>
        </w:rPr>
        <w:t xml:space="preserve">  A judgment creditor controlled the voting of the unsecured class and rejected the plan and objected to confirmation.  </w:t>
      </w:r>
      <w:r w:rsidRPr="009D01D1">
        <w:rPr>
          <w:rFonts w:ascii="Garamond" w:hAnsi="Garamond"/>
          <w:i/>
          <w:sz w:val="28"/>
        </w:rPr>
        <w:t>Id</w:t>
      </w:r>
      <w:r>
        <w:rPr>
          <w:rFonts w:ascii="Garamond" w:hAnsi="Garamond"/>
          <w:sz w:val="28"/>
        </w:rPr>
        <w:t xml:space="preserve">.  </w:t>
      </w:r>
    </w:p>
    <w:p w:rsidR="00607BFE" w:rsidRDefault="00607BFE" w:rsidP="00607B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spacing w:line="480" w:lineRule="auto"/>
        <w:ind w:firstLine="720"/>
        <w:rPr>
          <w:rFonts w:ascii="Garamond" w:hAnsi="Garamond"/>
          <w:sz w:val="28"/>
        </w:rPr>
      </w:pPr>
      <w:r>
        <w:rPr>
          <w:rFonts w:ascii="Garamond" w:hAnsi="Garamond"/>
          <w:sz w:val="28"/>
        </w:rPr>
        <w:t xml:space="preserve">Prior to reaching the question of the absolute priority rule the court found that the debtor’s plan was filed in bad faith because his car and house payments were unreasonable.  </w:t>
      </w:r>
      <w:proofErr w:type="gramStart"/>
      <w:r w:rsidRPr="00903684">
        <w:rPr>
          <w:rFonts w:ascii="Garamond" w:hAnsi="Garamond"/>
          <w:i/>
          <w:sz w:val="28"/>
        </w:rPr>
        <w:t>Id.</w:t>
      </w:r>
      <w:r>
        <w:rPr>
          <w:rFonts w:ascii="Garamond" w:hAnsi="Garamond"/>
          <w:sz w:val="28"/>
        </w:rPr>
        <w:t xml:space="preserve"> at 226.</w:t>
      </w:r>
      <w:proofErr w:type="gramEnd"/>
      <w:r>
        <w:rPr>
          <w:rFonts w:ascii="Garamond" w:hAnsi="Garamond"/>
          <w:sz w:val="28"/>
        </w:rPr>
        <w:t xml:space="preserve">  The </w:t>
      </w:r>
      <w:proofErr w:type="spellStart"/>
      <w:r w:rsidRPr="009D01D1">
        <w:rPr>
          <w:rFonts w:ascii="Garamond" w:hAnsi="Garamond"/>
          <w:i/>
          <w:sz w:val="28"/>
        </w:rPr>
        <w:t>Gbadebo</w:t>
      </w:r>
      <w:proofErr w:type="spellEnd"/>
      <w:r>
        <w:rPr>
          <w:rFonts w:ascii="Garamond" w:hAnsi="Garamond"/>
          <w:sz w:val="28"/>
        </w:rPr>
        <w:t xml:space="preserve"> court also concluded that the debtor did not satisfy section 1129(a</w:t>
      </w:r>
      <w:proofErr w:type="gramStart"/>
      <w:r>
        <w:rPr>
          <w:rFonts w:ascii="Garamond" w:hAnsi="Garamond"/>
          <w:sz w:val="28"/>
        </w:rPr>
        <w:t>)(</w:t>
      </w:r>
      <w:proofErr w:type="gramEnd"/>
      <w:r>
        <w:rPr>
          <w:rFonts w:ascii="Garamond" w:hAnsi="Garamond"/>
          <w:sz w:val="28"/>
        </w:rPr>
        <w:t xml:space="preserve">15) because the debtor’s financial information was not credible.  Rather, the debtor’s testimony persuaded the court that the debtor used his company as “his personal ‘piggy bank,’ drawing money from it or causing it to pay his personal as needed and failing to maintain its corporate separateness.”  </w:t>
      </w:r>
      <w:r w:rsidRPr="009D01D1">
        <w:rPr>
          <w:rFonts w:ascii="Garamond" w:hAnsi="Garamond"/>
          <w:i/>
          <w:sz w:val="28"/>
        </w:rPr>
        <w:t>Id</w:t>
      </w:r>
      <w:r>
        <w:rPr>
          <w:rFonts w:ascii="Garamond" w:hAnsi="Garamond"/>
          <w:sz w:val="28"/>
        </w:rPr>
        <w:t xml:space="preserve">.  </w:t>
      </w:r>
    </w:p>
    <w:p w:rsidR="00607BFE" w:rsidRPr="002D7985" w:rsidRDefault="00607BFE" w:rsidP="00607B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spacing w:line="480" w:lineRule="auto"/>
        <w:ind w:firstLine="720"/>
        <w:rPr>
          <w:rFonts w:ascii="Garamond" w:hAnsi="Garamond"/>
          <w:sz w:val="28"/>
        </w:rPr>
      </w:pPr>
      <w:r>
        <w:rPr>
          <w:rFonts w:ascii="Garamond" w:hAnsi="Garamond"/>
          <w:sz w:val="28"/>
        </w:rPr>
        <w:t xml:space="preserve">After finding the debtor’s chapter 11 plan </w:t>
      </w:r>
      <w:proofErr w:type="spellStart"/>
      <w:r>
        <w:rPr>
          <w:rFonts w:ascii="Garamond" w:hAnsi="Garamond"/>
          <w:sz w:val="28"/>
        </w:rPr>
        <w:t>unconfirmable</w:t>
      </w:r>
      <w:proofErr w:type="spellEnd"/>
      <w:r>
        <w:rPr>
          <w:rFonts w:ascii="Garamond" w:hAnsi="Garamond"/>
          <w:sz w:val="28"/>
        </w:rPr>
        <w:t xml:space="preserve"> based on section 1129(a)(3) and 1129(a)(15), the </w:t>
      </w:r>
      <w:proofErr w:type="spellStart"/>
      <w:r w:rsidRPr="009D01D1">
        <w:rPr>
          <w:rFonts w:ascii="Garamond" w:hAnsi="Garamond"/>
          <w:i/>
          <w:sz w:val="28"/>
        </w:rPr>
        <w:t>Gbadebo</w:t>
      </w:r>
      <w:proofErr w:type="spellEnd"/>
      <w:r>
        <w:rPr>
          <w:rFonts w:ascii="Garamond" w:hAnsi="Garamond"/>
          <w:sz w:val="28"/>
        </w:rPr>
        <w:t xml:space="preserve"> court nevertheless went on to consider the applicability of the absolute priority rule.  Here the </w:t>
      </w:r>
      <w:proofErr w:type="spellStart"/>
      <w:r w:rsidRPr="00903684">
        <w:rPr>
          <w:rFonts w:ascii="Garamond" w:hAnsi="Garamond"/>
          <w:i/>
          <w:sz w:val="28"/>
        </w:rPr>
        <w:t>Gbadebo</w:t>
      </w:r>
      <w:proofErr w:type="spellEnd"/>
      <w:r>
        <w:rPr>
          <w:rFonts w:ascii="Garamond" w:hAnsi="Garamond"/>
          <w:sz w:val="28"/>
        </w:rPr>
        <w:t xml:space="preserve"> court inverted the statutory language of section 1115 to hold the absolute priority rule still applies to individual chapter 11 debtors and thereby added another proverbial nail to the coffin of this less than honest but unfortunate debtor.  Specifically, the </w:t>
      </w:r>
      <w:proofErr w:type="spellStart"/>
      <w:r w:rsidRPr="00903684">
        <w:rPr>
          <w:rFonts w:ascii="Garamond" w:hAnsi="Garamond"/>
          <w:i/>
          <w:sz w:val="28"/>
        </w:rPr>
        <w:t>Gbadebo</w:t>
      </w:r>
      <w:proofErr w:type="spellEnd"/>
      <w:r>
        <w:rPr>
          <w:rFonts w:ascii="Garamond" w:hAnsi="Garamond"/>
          <w:sz w:val="28"/>
        </w:rPr>
        <w:t xml:space="preserve"> court stated that:</w:t>
      </w:r>
    </w:p>
    <w:p w:rsidR="00607BFE" w:rsidRDefault="00607BFE" w:rsidP="00607BF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rPr>
          <w:rFonts w:ascii="Garamond" w:hAnsi="Garamond"/>
          <w:sz w:val="28"/>
        </w:rPr>
      </w:pPr>
      <w:r w:rsidRPr="002D7985">
        <w:rPr>
          <w:rFonts w:ascii="Garamond" w:hAnsi="Garamond"/>
          <w:sz w:val="28"/>
        </w:rPr>
        <w:t xml:space="preserve">Section 541 provides that, when a petition is filed, a bankruptcy estate is created, consisting of debtor’s pre-petition property.  Section 1115 provides that, in an individual chapter 11 case, </w:t>
      </w:r>
      <w:r w:rsidRPr="002D7985">
        <w:rPr>
          <w:rFonts w:ascii="Garamond" w:hAnsi="Garamond"/>
          <w:i/>
          <w:sz w:val="28"/>
        </w:rPr>
        <w:t>in addition to the property specified in § 541</w:t>
      </w:r>
      <w:r w:rsidRPr="002D7985">
        <w:rPr>
          <w:rFonts w:ascii="Garamond" w:hAnsi="Garamond"/>
          <w:sz w:val="28"/>
        </w:rPr>
        <w:t xml:space="preserve">, </w:t>
      </w:r>
      <w:r w:rsidRPr="002D7985">
        <w:rPr>
          <w:rFonts w:ascii="Garamond" w:hAnsi="Garamond"/>
          <w:b/>
          <w:sz w:val="28"/>
        </w:rPr>
        <w:t>the estate includes the debtor’s post-petition property.</w:t>
      </w:r>
    </w:p>
    <w:p w:rsidR="00607BFE" w:rsidRPr="002D7985" w:rsidRDefault="00607BFE" w:rsidP="00607BF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rPr>
          <w:rFonts w:ascii="Garamond" w:hAnsi="Garamond"/>
          <w:sz w:val="28"/>
        </w:rPr>
      </w:pPr>
    </w:p>
    <w:p w:rsidR="00607BFE" w:rsidRPr="002D7985" w:rsidRDefault="00607BFE" w:rsidP="00607B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spacing w:line="480" w:lineRule="auto"/>
        <w:rPr>
          <w:rFonts w:ascii="Garamond" w:hAnsi="Garamond"/>
          <w:sz w:val="28"/>
        </w:rPr>
      </w:pPr>
      <w:r w:rsidRPr="002D7985">
        <w:rPr>
          <w:rFonts w:ascii="Garamond" w:hAnsi="Garamond"/>
          <w:sz w:val="28"/>
        </w:rPr>
        <w:t xml:space="preserve">431 B.R. at 229 (emphasis added).  </w:t>
      </w:r>
      <w:r>
        <w:rPr>
          <w:rFonts w:ascii="Garamond" w:hAnsi="Garamond"/>
          <w:sz w:val="28"/>
        </w:rPr>
        <w:t>The</w:t>
      </w:r>
      <w:r w:rsidRPr="002D7985">
        <w:rPr>
          <w:rFonts w:ascii="Garamond" w:hAnsi="Garamond"/>
          <w:sz w:val="28"/>
        </w:rPr>
        <w:t xml:space="preserve"> </w:t>
      </w:r>
      <w:proofErr w:type="spellStart"/>
      <w:r w:rsidRPr="002D7985">
        <w:rPr>
          <w:rFonts w:ascii="Garamond" w:hAnsi="Garamond"/>
          <w:i/>
          <w:sz w:val="28"/>
        </w:rPr>
        <w:t>Gbadebo</w:t>
      </w:r>
      <w:proofErr w:type="spellEnd"/>
      <w:r w:rsidRPr="002D7985">
        <w:rPr>
          <w:rFonts w:ascii="Garamond" w:hAnsi="Garamond"/>
          <w:sz w:val="28"/>
        </w:rPr>
        <w:t xml:space="preserve"> court reads the phrase “in addition to the property specified in section 541” (italicized above) as preceding the phrase “the estate includes the debtor’s post-petition property” (bold above).  Under the statute as rewritten by the </w:t>
      </w:r>
      <w:proofErr w:type="spellStart"/>
      <w:r w:rsidRPr="002D7985">
        <w:rPr>
          <w:rFonts w:ascii="Garamond" w:hAnsi="Garamond"/>
          <w:i/>
          <w:sz w:val="28"/>
        </w:rPr>
        <w:t>Gbadebo</w:t>
      </w:r>
      <w:proofErr w:type="spellEnd"/>
      <w:r w:rsidRPr="002D7985">
        <w:rPr>
          <w:rFonts w:ascii="Garamond" w:hAnsi="Garamond"/>
          <w:sz w:val="28"/>
        </w:rPr>
        <w:t xml:space="preserve"> court, property of the estate in section 1115 clearly does not “include” property specified in </w:t>
      </w:r>
      <w:r>
        <w:rPr>
          <w:rFonts w:ascii="Garamond" w:hAnsi="Garamond"/>
          <w:sz w:val="28"/>
        </w:rPr>
        <w:t>section</w:t>
      </w:r>
      <w:r w:rsidRPr="002D7985">
        <w:rPr>
          <w:rFonts w:ascii="Garamond" w:hAnsi="Garamond"/>
          <w:sz w:val="28"/>
        </w:rPr>
        <w:t xml:space="preserve"> 541.  The </w:t>
      </w:r>
      <w:proofErr w:type="spellStart"/>
      <w:r w:rsidRPr="002D7985">
        <w:rPr>
          <w:rFonts w:ascii="Garamond" w:hAnsi="Garamond"/>
          <w:i/>
          <w:sz w:val="28"/>
        </w:rPr>
        <w:t>Gbadebo</w:t>
      </w:r>
      <w:proofErr w:type="spellEnd"/>
      <w:r w:rsidRPr="002D7985">
        <w:rPr>
          <w:rFonts w:ascii="Garamond" w:hAnsi="Garamond"/>
          <w:sz w:val="28"/>
        </w:rPr>
        <w:t xml:space="preserve"> court concludes that only property </w:t>
      </w:r>
      <w:r w:rsidRPr="002D7985">
        <w:rPr>
          <w:rFonts w:ascii="Garamond" w:hAnsi="Garamond"/>
          <w:i/>
          <w:sz w:val="28"/>
        </w:rPr>
        <w:t>added</w:t>
      </w:r>
      <w:r w:rsidRPr="002D7985">
        <w:rPr>
          <w:rFonts w:ascii="Garamond" w:hAnsi="Garamond"/>
          <w:sz w:val="28"/>
        </w:rPr>
        <w:t xml:space="preserve"> to the bankruptcy estate by section 1115 may be retained by the debtor</w:t>
      </w:r>
      <w:r>
        <w:rPr>
          <w:rFonts w:ascii="Garamond" w:hAnsi="Garamond"/>
          <w:sz w:val="28"/>
        </w:rPr>
        <w:t xml:space="preserve"> under the exception in section 1129(b</w:t>
      </w:r>
      <w:proofErr w:type="gramStart"/>
      <w:r>
        <w:rPr>
          <w:rFonts w:ascii="Garamond" w:hAnsi="Garamond"/>
          <w:sz w:val="28"/>
        </w:rPr>
        <w:t>)(</w:t>
      </w:r>
      <w:proofErr w:type="gramEnd"/>
      <w:r>
        <w:rPr>
          <w:rFonts w:ascii="Garamond" w:hAnsi="Garamond"/>
          <w:sz w:val="28"/>
        </w:rPr>
        <w:t>2)(B)(ii)</w:t>
      </w:r>
      <w:r w:rsidRPr="002D7985">
        <w:rPr>
          <w:rFonts w:ascii="Garamond" w:hAnsi="Garamond"/>
          <w:sz w:val="28"/>
        </w:rPr>
        <w:t xml:space="preserve">.  But, the language written by Congress is different from that </w:t>
      </w:r>
      <w:r>
        <w:rPr>
          <w:rFonts w:ascii="Garamond" w:hAnsi="Garamond"/>
          <w:sz w:val="28"/>
        </w:rPr>
        <w:t xml:space="preserve">rewritten and </w:t>
      </w:r>
      <w:r w:rsidRPr="002D7985">
        <w:rPr>
          <w:rFonts w:ascii="Garamond" w:hAnsi="Garamond"/>
          <w:sz w:val="28"/>
        </w:rPr>
        <w:t xml:space="preserve">analyzed by the </w:t>
      </w:r>
      <w:proofErr w:type="spellStart"/>
      <w:r w:rsidRPr="002D7985">
        <w:rPr>
          <w:rFonts w:ascii="Garamond" w:hAnsi="Garamond"/>
          <w:i/>
          <w:sz w:val="28"/>
        </w:rPr>
        <w:t>Gbadebo</w:t>
      </w:r>
      <w:proofErr w:type="spellEnd"/>
      <w:r w:rsidRPr="002D7985">
        <w:rPr>
          <w:rFonts w:ascii="Garamond" w:hAnsi="Garamond"/>
          <w:sz w:val="28"/>
        </w:rPr>
        <w:t xml:space="preserve"> court.  </w:t>
      </w:r>
    </w:p>
    <w:p w:rsidR="00607BFE" w:rsidRPr="002D7985" w:rsidRDefault="00607BFE" w:rsidP="00607B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spacing w:line="480" w:lineRule="auto"/>
        <w:rPr>
          <w:rFonts w:ascii="Garamond" w:hAnsi="Garamond"/>
          <w:sz w:val="28"/>
        </w:rPr>
      </w:pPr>
      <w:r w:rsidRPr="002D7985">
        <w:rPr>
          <w:rFonts w:ascii="Garamond" w:hAnsi="Garamond"/>
          <w:sz w:val="28"/>
        </w:rPr>
        <w:tab/>
        <w:t>First, section 1129(b</w:t>
      </w:r>
      <w:proofErr w:type="gramStart"/>
      <w:r w:rsidRPr="002D7985">
        <w:rPr>
          <w:rFonts w:ascii="Garamond" w:hAnsi="Garamond"/>
          <w:sz w:val="28"/>
        </w:rPr>
        <w:t>)(</w:t>
      </w:r>
      <w:proofErr w:type="gramEnd"/>
      <w:r w:rsidRPr="002D7985">
        <w:rPr>
          <w:rFonts w:ascii="Garamond" w:hAnsi="Garamond"/>
          <w:sz w:val="28"/>
        </w:rPr>
        <w:t xml:space="preserve">2)(B)(ii) uses the phrase “property included in the estate under section 1115,” not “property </w:t>
      </w:r>
      <w:r w:rsidRPr="002D7985">
        <w:rPr>
          <w:rFonts w:ascii="Garamond" w:hAnsi="Garamond"/>
          <w:b/>
          <w:sz w:val="28"/>
        </w:rPr>
        <w:t>added</w:t>
      </w:r>
      <w:r w:rsidRPr="002D7985">
        <w:rPr>
          <w:rFonts w:ascii="Garamond" w:hAnsi="Garamond"/>
          <w:sz w:val="28"/>
        </w:rPr>
        <w:t xml:space="preserve"> to the estate by section 1115.”  “Included” does not mean “added.”  Something that is “added” may be included but the converse is not necessarily true.   Limiting the word “included” to mean “added” as the </w:t>
      </w:r>
      <w:proofErr w:type="spellStart"/>
      <w:r w:rsidRPr="002D7985">
        <w:rPr>
          <w:rFonts w:ascii="Garamond" w:hAnsi="Garamond"/>
          <w:i/>
          <w:sz w:val="28"/>
        </w:rPr>
        <w:t>Gbadebo</w:t>
      </w:r>
      <w:proofErr w:type="spellEnd"/>
      <w:r w:rsidRPr="002D7985">
        <w:rPr>
          <w:rFonts w:ascii="Garamond" w:hAnsi="Garamond"/>
          <w:sz w:val="28"/>
        </w:rPr>
        <w:t xml:space="preserve"> court did is inconsistent with the Code, which uses “includes” expansively. </w:t>
      </w:r>
      <w:r w:rsidRPr="002D7985">
        <w:rPr>
          <w:rFonts w:ascii="Garamond" w:hAnsi="Garamond"/>
          <w:i/>
          <w:sz w:val="28"/>
        </w:rPr>
        <w:t xml:space="preserve">See </w:t>
      </w:r>
      <w:r>
        <w:rPr>
          <w:rFonts w:ascii="Garamond" w:hAnsi="Garamond"/>
          <w:sz w:val="28"/>
        </w:rPr>
        <w:t xml:space="preserve">11 U.S.C. § 102(3); </w:t>
      </w:r>
      <w:r w:rsidRPr="00CC1B91">
        <w:rPr>
          <w:rFonts w:ascii="Garamond" w:hAnsi="Garamond"/>
          <w:i/>
          <w:sz w:val="28"/>
        </w:rPr>
        <w:t xml:space="preserve">see also American Sur. Co. v. </w:t>
      </w:r>
      <w:proofErr w:type="spellStart"/>
      <w:r w:rsidRPr="00CC1B91">
        <w:rPr>
          <w:rFonts w:ascii="Garamond" w:hAnsi="Garamond"/>
          <w:i/>
          <w:sz w:val="28"/>
        </w:rPr>
        <w:t>Marotta</w:t>
      </w:r>
      <w:proofErr w:type="spellEnd"/>
      <w:r>
        <w:rPr>
          <w:rFonts w:ascii="Garamond" w:hAnsi="Garamond"/>
          <w:sz w:val="28"/>
        </w:rPr>
        <w:t>, 287 U.S. 513 (1933</w:t>
      </w:r>
      <w:proofErr w:type="gramStart"/>
      <w:r>
        <w:rPr>
          <w:rFonts w:ascii="Garamond" w:hAnsi="Garamond"/>
          <w:sz w:val="28"/>
        </w:rPr>
        <w:t>)(</w:t>
      </w:r>
      <w:proofErr w:type="gramEnd"/>
      <w:r>
        <w:rPr>
          <w:rFonts w:ascii="Garamond" w:hAnsi="Garamond"/>
          <w:sz w:val="28"/>
        </w:rPr>
        <w:t>in the bankruptcy context “‘include’ is frequently, if not generally, used as a word of extension or enlargement rather than as one of limitation or enumeration”).</w:t>
      </w:r>
      <w:r w:rsidRPr="002D7985">
        <w:rPr>
          <w:rFonts w:ascii="Garamond" w:hAnsi="Garamond"/>
          <w:sz w:val="28"/>
        </w:rPr>
        <w:t xml:space="preserve"> </w:t>
      </w:r>
    </w:p>
    <w:p w:rsidR="00607BFE" w:rsidRPr="002D7985" w:rsidRDefault="00607BFE" w:rsidP="00607B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spacing w:line="480" w:lineRule="auto"/>
        <w:rPr>
          <w:rFonts w:ascii="Garamond" w:hAnsi="Garamond"/>
          <w:sz w:val="28"/>
        </w:rPr>
      </w:pPr>
      <w:r w:rsidRPr="002D7985">
        <w:rPr>
          <w:rFonts w:ascii="Garamond" w:hAnsi="Garamond"/>
          <w:sz w:val="28"/>
        </w:rPr>
        <w:tab/>
        <w:t xml:space="preserve">Second, while inverting the order of the clauses in section 1115 is consistent with and supports the conclusion reached by the </w:t>
      </w:r>
      <w:proofErr w:type="spellStart"/>
      <w:r w:rsidRPr="002D7985">
        <w:rPr>
          <w:rFonts w:ascii="Garamond" w:hAnsi="Garamond"/>
          <w:i/>
          <w:sz w:val="28"/>
        </w:rPr>
        <w:t>Gbadebo</w:t>
      </w:r>
      <w:proofErr w:type="spellEnd"/>
      <w:r w:rsidRPr="002D7985">
        <w:rPr>
          <w:rFonts w:ascii="Garamond" w:hAnsi="Garamond"/>
          <w:i/>
          <w:sz w:val="28"/>
        </w:rPr>
        <w:t xml:space="preserve"> </w:t>
      </w:r>
      <w:r w:rsidRPr="002D7985">
        <w:rPr>
          <w:rFonts w:ascii="Garamond" w:hAnsi="Garamond"/>
          <w:sz w:val="28"/>
        </w:rPr>
        <w:t>court, it is not the language used by Congress.  Congress used the words “</w:t>
      </w:r>
      <w:r>
        <w:rPr>
          <w:rFonts w:ascii="Garamond" w:hAnsi="Garamond"/>
          <w:sz w:val="28"/>
        </w:rPr>
        <w:t xml:space="preserve">property of the estate includes, </w:t>
      </w:r>
      <w:r w:rsidRPr="002D7985">
        <w:rPr>
          <w:rFonts w:ascii="Garamond" w:hAnsi="Garamond"/>
          <w:sz w:val="28"/>
        </w:rPr>
        <w:t>in addition to the property specified in section 541</w:t>
      </w:r>
      <w:r>
        <w:rPr>
          <w:rFonts w:ascii="Garamond" w:hAnsi="Garamond"/>
          <w:sz w:val="28"/>
        </w:rPr>
        <w:t>—</w:t>
      </w:r>
      <w:r w:rsidRPr="002D7985">
        <w:rPr>
          <w:rFonts w:ascii="Garamond" w:hAnsi="Garamond"/>
          <w:sz w:val="28"/>
        </w:rPr>
        <w:t xml:space="preserve">…”   Here, section 1115 refers the superset of section 541(a) property and the debtor’s </w:t>
      </w:r>
      <w:proofErr w:type="spellStart"/>
      <w:r w:rsidRPr="002D7985">
        <w:rPr>
          <w:rFonts w:ascii="Garamond" w:hAnsi="Garamond"/>
          <w:sz w:val="28"/>
        </w:rPr>
        <w:t>postpetition</w:t>
      </w:r>
      <w:proofErr w:type="spellEnd"/>
      <w:r w:rsidRPr="002D7985">
        <w:rPr>
          <w:rFonts w:ascii="Garamond" w:hAnsi="Garamond"/>
          <w:sz w:val="28"/>
        </w:rPr>
        <w:t xml:space="preserve"> service income.  </w:t>
      </w:r>
      <w:r w:rsidRPr="002D7985">
        <w:rPr>
          <w:rFonts w:ascii="Garamond" w:hAnsi="Garamond"/>
          <w:i/>
          <w:sz w:val="28"/>
        </w:rPr>
        <w:t>See In re Shat</w:t>
      </w:r>
      <w:r w:rsidRPr="002D7985">
        <w:rPr>
          <w:rFonts w:ascii="Garamond" w:hAnsi="Garamond"/>
          <w:sz w:val="28"/>
        </w:rPr>
        <w:t>, 424 B.R. 854, 863 (</w:t>
      </w:r>
      <w:proofErr w:type="spellStart"/>
      <w:r w:rsidRPr="002D7985">
        <w:rPr>
          <w:rFonts w:ascii="Garamond" w:hAnsi="Garamond"/>
          <w:sz w:val="28"/>
        </w:rPr>
        <w:t>Bankr</w:t>
      </w:r>
      <w:proofErr w:type="spellEnd"/>
      <w:r w:rsidRPr="002D7985">
        <w:rPr>
          <w:rFonts w:ascii="Garamond" w:hAnsi="Garamond"/>
          <w:sz w:val="28"/>
        </w:rPr>
        <w:t xml:space="preserve"> D. Nev. 2010).  Put another way section 1115 entirely supplants section 541 by specifically incorporating it and adding to it.  </w:t>
      </w:r>
      <w:r w:rsidRPr="002D7985">
        <w:rPr>
          <w:rFonts w:ascii="Garamond" w:hAnsi="Garamond"/>
          <w:i/>
          <w:sz w:val="28"/>
        </w:rPr>
        <w:t>Id.</w:t>
      </w:r>
      <w:r w:rsidRPr="002D7985">
        <w:rPr>
          <w:rFonts w:ascii="Garamond" w:hAnsi="Garamond"/>
          <w:sz w:val="28"/>
        </w:rPr>
        <w:t xml:space="preserve">   Section 1129(b)(2)(B)(ii), therefore, permits the debtor to confirm a plan and retain both pre-petition and post-petition property of the estate so long as the other requirements of section 1129(a), except (a)(8), are satisfied.</w:t>
      </w:r>
    </w:p>
    <w:p w:rsidR="00607BFE" w:rsidRPr="002D7985" w:rsidRDefault="00607BFE" w:rsidP="00607B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spacing w:line="480" w:lineRule="auto"/>
        <w:rPr>
          <w:rFonts w:ascii="Garamond" w:hAnsi="Garamond"/>
          <w:sz w:val="28"/>
        </w:rPr>
      </w:pPr>
      <w:r w:rsidRPr="002D7985">
        <w:rPr>
          <w:rFonts w:ascii="Garamond" w:hAnsi="Garamond"/>
          <w:sz w:val="28"/>
        </w:rPr>
        <w:tab/>
        <w:t xml:space="preserve">The plain language of the statute, as written, </w:t>
      </w:r>
      <w:r>
        <w:rPr>
          <w:rFonts w:ascii="Garamond" w:hAnsi="Garamond"/>
          <w:sz w:val="28"/>
        </w:rPr>
        <w:t>abrogates</w:t>
      </w:r>
      <w:r w:rsidRPr="002D7985">
        <w:rPr>
          <w:rFonts w:ascii="Garamond" w:hAnsi="Garamond"/>
          <w:sz w:val="28"/>
        </w:rPr>
        <w:t xml:space="preserve"> the absolute priority rule for individual chapter 11 debtors.   The fact that Congress could have opted for another way to relieve individual chapter 11 debtors of the obligations imposed by the absolute priority rule does not permit courts to simply ignore the language as written or rewrite the language to comport with the court’s conclusion.   It is simply irrelevant whether the language used by Congress is the most efficient way to achieve the intended result.  Courts that find the absolute priority rule still applies to individual debtors because Congress could have, or should have, written the law differently have missed the mark in applying the foundational rule of statutory construction. </w:t>
      </w:r>
      <w:r>
        <w:rPr>
          <w:rFonts w:ascii="Garamond" w:hAnsi="Garamond"/>
          <w:sz w:val="28"/>
        </w:rPr>
        <w:t xml:space="preserve"> </w:t>
      </w:r>
      <w:r w:rsidRPr="006D2375">
        <w:rPr>
          <w:rFonts w:ascii="Garamond" w:hAnsi="Garamond"/>
          <w:i/>
          <w:sz w:val="28"/>
        </w:rPr>
        <w:t xml:space="preserve">See In re </w:t>
      </w:r>
      <w:proofErr w:type="spellStart"/>
      <w:r w:rsidRPr="006D2375">
        <w:rPr>
          <w:rFonts w:ascii="Garamond" w:hAnsi="Garamond"/>
          <w:i/>
          <w:sz w:val="28"/>
        </w:rPr>
        <w:t>Maharaj</w:t>
      </w:r>
      <w:proofErr w:type="spellEnd"/>
      <w:r>
        <w:rPr>
          <w:rFonts w:ascii="Garamond" w:hAnsi="Garamond"/>
          <w:sz w:val="28"/>
        </w:rPr>
        <w:t>, 2011 WL 1753795, at *7 (</w:t>
      </w:r>
      <w:proofErr w:type="spellStart"/>
      <w:r>
        <w:rPr>
          <w:rFonts w:ascii="Garamond" w:hAnsi="Garamond"/>
          <w:sz w:val="28"/>
        </w:rPr>
        <w:t>Bankr</w:t>
      </w:r>
      <w:proofErr w:type="spellEnd"/>
      <w:r>
        <w:rPr>
          <w:rFonts w:ascii="Garamond" w:hAnsi="Garamond"/>
          <w:sz w:val="28"/>
        </w:rPr>
        <w:t>. E.D. Va. May 9, 2011</w:t>
      </w:r>
      <w:proofErr w:type="gramStart"/>
      <w:r>
        <w:rPr>
          <w:rFonts w:ascii="Garamond" w:hAnsi="Garamond"/>
          <w:sz w:val="28"/>
        </w:rPr>
        <w:t>)(</w:t>
      </w:r>
      <w:proofErr w:type="gramEnd"/>
      <w:r>
        <w:rPr>
          <w:rFonts w:ascii="Garamond" w:hAnsi="Garamond"/>
          <w:sz w:val="28"/>
        </w:rPr>
        <w:t xml:space="preserve">applying APR where abrogation could have been “more straight-forwardly expressed”); </w:t>
      </w:r>
      <w:r w:rsidRPr="00271467">
        <w:rPr>
          <w:rFonts w:ascii="Garamond" w:hAnsi="Garamond"/>
          <w:i/>
          <w:sz w:val="28"/>
        </w:rPr>
        <w:t xml:space="preserve">In re </w:t>
      </w:r>
      <w:proofErr w:type="spellStart"/>
      <w:r w:rsidRPr="00271467">
        <w:rPr>
          <w:rFonts w:ascii="Garamond" w:hAnsi="Garamond"/>
          <w:i/>
          <w:sz w:val="28"/>
        </w:rPr>
        <w:t>Karlovich</w:t>
      </w:r>
      <w:proofErr w:type="spellEnd"/>
      <w:r>
        <w:rPr>
          <w:rFonts w:ascii="Garamond" w:hAnsi="Garamond"/>
          <w:sz w:val="28"/>
        </w:rPr>
        <w:t>, 2010 WL 5418872, at *4 (</w:t>
      </w:r>
      <w:proofErr w:type="spellStart"/>
      <w:r>
        <w:rPr>
          <w:rFonts w:ascii="Garamond" w:hAnsi="Garamond"/>
          <w:sz w:val="28"/>
        </w:rPr>
        <w:t>Bankr</w:t>
      </w:r>
      <w:proofErr w:type="spellEnd"/>
      <w:r>
        <w:rPr>
          <w:rFonts w:ascii="Garamond" w:hAnsi="Garamond"/>
          <w:sz w:val="28"/>
        </w:rPr>
        <w:t>. S.D. Cal. Nov. 16, 2010</w:t>
      </w:r>
      <w:proofErr w:type="gramStart"/>
      <w:r>
        <w:rPr>
          <w:rFonts w:ascii="Garamond" w:hAnsi="Garamond"/>
          <w:sz w:val="28"/>
        </w:rPr>
        <w:t>)(</w:t>
      </w:r>
      <w:proofErr w:type="gramEnd"/>
      <w:r>
        <w:rPr>
          <w:rFonts w:ascii="Garamond" w:hAnsi="Garamond"/>
          <w:sz w:val="28"/>
        </w:rPr>
        <w:t xml:space="preserve">if abrogation of the APR for individual debtors was Congress’ intent, it would simply have amended the statutory debt ceilings for chapter 13 cases);  </w:t>
      </w:r>
      <w:r w:rsidRPr="00271467">
        <w:rPr>
          <w:rFonts w:ascii="Garamond" w:hAnsi="Garamond"/>
          <w:i/>
          <w:sz w:val="28"/>
        </w:rPr>
        <w:t>In re Mullins</w:t>
      </w:r>
      <w:r>
        <w:rPr>
          <w:rFonts w:ascii="Garamond" w:hAnsi="Garamond"/>
          <w:sz w:val="28"/>
        </w:rPr>
        <w:t>, 435 B.R. 352, 360 (</w:t>
      </w:r>
      <w:proofErr w:type="spellStart"/>
      <w:r>
        <w:rPr>
          <w:rFonts w:ascii="Garamond" w:hAnsi="Garamond"/>
          <w:sz w:val="28"/>
        </w:rPr>
        <w:t>Bankr</w:t>
      </w:r>
      <w:proofErr w:type="spellEnd"/>
      <w:r>
        <w:rPr>
          <w:rFonts w:ascii="Garamond" w:hAnsi="Garamond"/>
          <w:sz w:val="28"/>
        </w:rPr>
        <w:t>. W.D. Va. 2010</w:t>
      </w:r>
      <w:proofErr w:type="gramStart"/>
      <w:r>
        <w:rPr>
          <w:rFonts w:ascii="Garamond" w:hAnsi="Garamond"/>
          <w:sz w:val="28"/>
        </w:rPr>
        <w:t>)(</w:t>
      </w:r>
      <w:proofErr w:type="gramEnd"/>
      <w:r>
        <w:rPr>
          <w:rFonts w:ascii="Garamond" w:hAnsi="Garamond"/>
          <w:sz w:val="28"/>
        </w:rPr>
        <w:t>it would have been much clearer, easier and more direct to abrogate APR with different statutory language).</w:t>
      </w:r>
      <w:r w:rsidRPr="002D7985">
        <w:rPr>
          <w:rFonts w:ascii="Garamond" w:hAnsi="Garamond"/>
          <w:sz w:val="28"/>
        </w:rPr>
        <w:t xml:space="preserve"> </w:t>
      </w:r>
      <w:r>
        <w:rPr>
          <w:rFonts w:ascii="Garamond" w:hAnsi="Garamond"/>
          <w:sz w:val="28"/>
        </w:rPr>
        <w:t xml:space="preserve"> </w:t>
      </w:r>
      <w:r w:rsidRPr="002D7985">
        <w:rPr>
          <w:rFonts w:ascii="Garamond" w:hAnsi="Garamond"/>
          <w:sz w:val="28"/>
        </w:rPr>
        <w:t xml:space="preserve">The proper inquiry here is whether applying the plain language of the statute leads to a result that is unthinkable, bizarre or demonstrably at odds with the intentions of its drafters. </w:t>
      </w:r>
      <w:r w:rsidRPr="002D7985">
        <w:rPr>
          <w:rFonts w:ascii="Garamond" w:hAnsi="Garamond"/>
          <w:i/>
          <w:sz w:val="28"/>
        </w:rPr>
        <w:t xml:space="preserve">See In re </w:t>
      </w:r>
      <w:proofErr w:type="spellStart"/>
      <w:r w:rsidRPr="002D7985">
        <w:rPr>
          <w:rFonts w:ascii="Garamond" w:hAnsi="Garamond"/>
          <w:i/>
          <w:sz w:val="28"/>
        </w:rPr>
        <w:t>Spradlin</w:t>
      </w:r>
      <w:proofErr w:type="spellEnd"/>
      <w:r w:rsidRPr="002D7985">
        <w:rPr>
          <w:rFonts w:ascii="Garamond" w:hAnsi="Garamond"/>
          <w:sz w:val="28"/>
        </w:rPr>
        <w:t xml:space="preserve">, </w:t>
      </w:r>
      <w:proofErr w:type="gramStart"/>
      <w:r w:rsidRPr="002D7985">
        <w:rPr>
          <w:rFonts w:ascii="Garamond" w:hAnsi="Garamond"/>
          <w:sz w:val="28"/>
        </w:rPr>
        <w:t>231 B.R. 254, 260</w:t>
      </w:r>
      <w:proofErr w:type="gramEnd"/>
      <w:r w:rsidRPr="002D7985">
        <w:rPr>
          <w:rFonts w:ascii="Garamond" w:hAnsi="Garamond"/>
          <w:sz w:val="28"/>
        </w:rPr>
        <w:t xml:space="preserve"> (</w:t>
      </w:r>
      <w:proofErr w:type="spellStart"/>
      <w:r w:rsidRPr="002D7985">
        <w:rPr>
          <w:rFonts w:ascii="Garamond" w:hAnsi="Garamond"/>
          <w:sz w:val="28"/>
        </w:rPr>
        <w:t>Bankr</w:t>
      </w:r>
      <w:proofErr w:type="spellEnd"/>
      <w:r w:rsidRPr="002D7985">
        <w:rPr>
          <w:rFonts w:ascii="Garamond" w:hAnsi="Garamond"/>
          <w:sz w:val="28"/>
        </w:rPr>
        <w:t>. E.D. Mich. 1999)</w:t>
      </w:r>
      <w:r>
        <w:rPr>
          <w:rFonts w:ascii="Garamond" w:hAnsi="Garamond"/>
          <w:sz w:val="28"/>
        </w:rPr>
        <w:t xml:space="preserve">.  </w:t>
      </w:r>
      <w:r w:rsidRPr="002D7985">
        <w:rPr>
          <w:rFonts w:ascii="Garamond" w:hAnsi="Garamond"/>
          <w:sz w:val="28"/>
        </w:rPr>
        <w:t>In this case</w:t>
      </w:r>
      <w:r>
        <w:rPr>
          <w:rFonts w:ascii="Garamond" w:hAnsi="Garamond"/>
          <w:sz w:val="28"/>
        </w:rPr>
        <w:t xml:space="preserve">, the abrogation of the absolute priority rule is not so bizarre that Congress could not have intended it.  </w:t>
      </w:r>
    </w:p>
    <w:p w:rsidR="00607BFE" w:rsidRDefault="00607BFE" w:rsidP="00607B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rPr>
          <w:rFonts w:ascii="Garamond" w:hAnsi="Garamond"/>
          <w:b/>
          <w:color w:val="000000" w:themeColor="text1"/>
          <w:sz w:val="28"/>
        </w:rPr>
      </w:pPr>
      <w:r w:rsidRPr="002D7985">
        <w:rPr>
          <w:rFonts w:ascii="Garamond" w:hAnsi="Garamond"/>
          <w:b/>
          <w:color w:val="000000" w:themeColor="text1"/>
          <w:sz w:val="28"/>
        </w:rPr>
        <w:t>II</w:t>
      </w:r>
      <w:r>
        <w:rPr>
          <w:rFonts w:ascii="Garamond" w:hAnsi="Garamond"/>
          <w:b/>
          <w:color w:val="000000" w:themeColor="text1"/>
          <w:sz w:val="28"/>
        </w:rPr>
        <w:t>I</w:t>
      </w:r>
      <w:r w:rsidRPr="002D7985">
        <w:rPr>
          <w:rFonts w:ascii="Garamond" w:hAnsi="Garamond"/>
          <w:b/>
          <w:color w:val="000000" w:themeColor="text1"/>
          <w:sz w:val="28"/>
        </w:rPr>
        <w:t>.  To the extent this Court finds the language of sections 1129(b)(2)(B)(ii) and 1115 ambiguous, the history of the absolute priority rule and the 2005 amendments to the Code demonstrate that the absolute priority rule should not apply to individual debtors in chapter 11.</w:t>
      </w:r>
    </w:p>
    <w:p w:rsidR="00607BFE" w:rsidRPr="00020827" w:rsidRDefault="00607BFE" w:rsidP="00607B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rPr>
          <w:rFonts w:ascii="Garamond" w:hAnsi="Garamond"/>
          <w:b/>
          <w:color w:val="000000" w:themeColor="text1"/>
          <w:sz w:val="28"/>
        </w:rPr>
      </w:pPr>
    </w:p>
    <w:p w:rsidR="00607BFE" w:rsidRPr="002D7985" w:rsidRDefault="00607BFE" w:rsidP="00607B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spacing w:line="480" w:lineRule="auto"/>
        <w:rPr>
          <w:rFonts w:ascii="Garamond" w:hAnsi="Garamond"/>
          <w:sz w:val="28"/>
        </w:rPr>
      </w:pPr>
      <w:r w:rsidRPr="002D7985">
        <w:rPr>
          <w:rFonts w:ascii="Garamond" w:hAnsi="Garamond"/>
          <w:sz w:val="28"/>
        </w:rPr>
        <w:tab/>
        <w:t xml:space="preserve">Though the plain language of sections 1129(b)(2)(B)(ii) and 1115 make the absolute priority rule inapplicable to individual chapter 11 debtors, some courts have found the meaning of these sections, as amended in 2005, to be ambiguous and open to multiple interpretations.  </w:t>
      </w:r>
      <w:proofErr w:type="gramStart"/>
      <w:r w:rsidRPr="00271467">
        <w:rPr>
          <w:rFonts w:ascii="Garamond" w:hAnsi="Garamond"/>
          <w:i/>
          <w:sz w:val="28"/>
        </w:rPr>
        <w:t>See, e.g.,</w:t>
      </w:r>
      <w:r>
        <w:rPr>
          <w:rFonts w:ascii="Garamond" w:hAnsi="Garamond"/>
          <w:sz w:val="28"/>
        </w:rPr>
        <w:t xml:space="preserve"> </w:t>
      </w:r>
      <w:r w:rsidRPr="005B16AE">
        <w:rPr>
          <w:rFonts w:ascii="Garamond" w:hAnsi="Garamond"/>
          <w:i/>
          <w:sz w:val="28"/>
        </w:rPr>
        <w:t xml:space="preserve">In re </w:t>
      </w:r>
      <w:proofErr w:type="spellStart"/>
      <w:r w:rsidRPr="005B16AE">
        <w:rPr>
          <w:rFonts w:ascii="Garamond" w:hAnsi="Garamond"/>
          <w:i/>
          <w:sz w:val="28"/>
        </w:rPr>
        <w:t>Gelin</w:t>
      </w:r>
      <w:proofErr w:type="spellEnd"/>
      <w:r>
        <w:rPr>
          <w:rFonts w:ascii="Garamond" w:hAnsi="Garamond"/>
          <w:sz w:val="28"/>
        </w:rPr>
        <w:t>, 437 B.R. 435 (</w:t>
      </w:r>
      <w:proofErr w:type="spellStart"/>
      <w:r>
        <w:rPr>
          <w:rFonts w:ascii="Garamond" w:hAnsi="Garamond"/>
          <w:sz w:val="28"/>
        </w:rPr>
        <w:t>Bankr</w:t>
      </w:r>
      <w:proofErr w:type="spellEnd"/>
      <w:r>
        <w:rPr>
          <w:rFonts w:ascii="Garamond" w:hAnsi="Garamond"/>
          <w:sz w:val="28"/>
        </w:rPr>
        <w:t>.</w:t>
      </w:r>
      <w:proofErr w:type="gramEnd"/>
      <w:r>
        <w:rPr>
          <w:rFonts w:ascii="Garamond" w:hAnsi="Garamond"/>
          <w:sz w:val="28"/>
        </w:rPr>
        <w:t xml:space="preserve"> </w:t>
      </w:r>
      <w:proofErr w:type="gramStart"/>
      <w:r>
        <w:rPr>
          <w:rFonts w:ascii="Garamond" w:hAnsi="Garamond"/>
          <w:sz w:val="28"/>
        </w:rPr>
        <w:t xml:space="preserve">M.D. Fla. 2010); </w:t>
      </w:r>
      <w:r w:rsidRPr="002D7985">
        <w:rPr>
          <w:rFonts w:ascii="Garamond" w:hAnsi="Garamond"/>
          <w:i/>
          <w:sz w:val="28"/>
        </w:rPr>
        <w:t>In re Shat</w:t>
      </w:r>
      <w:r w:rsidRPr="002D7985">
        <w:rPr>
          <w:rFonts w:ascii="Garamond" w:hAnsi="Garamond"/>
          <w:sz w:val="28"/>
        </w:rPr>
        <w:t>, 424 B.R. 854, 863 (</w:t>
      </w:r>
      <w:proofErr w:type="spellStart"/>
      <w:r w:rsidRPr="002D7985">
        <w:rPr>
          <w:rFonts w:ascii="Garamond" w:hAnsi="Garamond"/>
          <w:sz w:val="28"/>
        </w:rPr>
        <w:t>Bankr</w:t>
      </w:r>
      <w:proofErr w:type="spellEnd"/>
      <w:r w:rsidRPr="002D7985">
        <w:rPr>
          <w:rFonts w:ascii="Garamond" w:hAnsi="Garamond"/>
          <w:sz w:val="28"/>
        </w:rPr>
        <w:t xml:space="preserve"> D. Nev. 2010).</w:t>
      </w:r>
      <w:proofErr w:type="gramEnd"/>
      <w:r w:rsidRPr="002D7985">
        <w:rPr>
          <w:rFonts w:ascii="Garamond" w:hAnsi="Garamond"/>
          <w:sz w:val="28"/>
        </w:rPr>
        <w:t xml:space="preserve">  If this Court similarly concludes the language of t</w:t>
      </w:r>
      <w:r>
        <w:rPr>
          <w:rFonts w:ascii="Garamond" w:hAnsi="Garamond"/>
          <w:sz w:val="28"/>
        </w:rPr>
        <w:t xml:space="preserve">hese two sections is ambiguous, </w:t>
      </w:r>
      <w:r w:rsidRPr="002D7985">
        <w:rPr>
          <w:rFonts w:ascii="Garamond" w:hAnsi="Garamond"/>
          <w:sz w:val="28"/>
        </w:rPr>
        <w:t xml:space="preserve">then the court must look beyond the words on the page to the statutory cross-references, legislative history, and Congressional intent.  </w:t>
      </w:r>
      <w:r w:rsidRPr="002D7985">
        <w:rPr>
          <w:rFonts w:ascii="Garamond" w:hAnsi="Garamond"/>
          <w:i/>
          <w:sz w:val="28"/>
        </w:rPr>
        <w:t xml:space="preserve">See </w:t>
      </w:r>
      <w:proofErr w:type="spellStart"/>
      <w:r w:rsidRPr="002D7985">
        <w:rPr>
          <w:rFonts w:ascii="Garamond" w:hAnsi="Garamond"/>
          <w:i/>
          <w:sz w:val="28"/>
        </w:rPr>
        <w:t>Ratslaf</w:t>
      </w:r>
      <w:proofErr w:type="spellEnd"/>
      <w:r w:rsidRPr="002D7985">
        <w:rPr>
          <w:rFonts w:ascii="Garamond" w:hAnsi="Garamond"/>
          <w:i/>
          <w:sz w:val="28"/>
        </w:rPr>
        <w:t xml:space="preserve"> v. United States</w:t>
      </w:r>
      <w:r w:rsidRPr="002D7985">
        <w:rPr>
          <w:rFonts w:ascii="Garamond" w:hAnsi="Garamond"/>
          <w:sz w:val="28"/>
        </w:rPr>
        <w:t>, 510 U.S. 135, 147-48 (1994).  Here, the history of the absolute priority rule and the 2005 amendments to the Code demonstrate that the absolute priority rule should no longer apply to individual chapter 11 debtors.</w:t>
      </w:r>
    </w:p>
    <w:p w:rsidR="00607BFE" w:rsidRPr="002D7985" w:rsidRDefault="00607BFE" w:rsidP="00607B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spacing w:line="480" w:lineRule="auto"/>
        <w:rPr>
          <w:rFonts w:ascii="Garamond" w:hAnsi="Garamond"/>
          <w:sz w:val="28"/>
        </w:rPr>
      </w:pPr>
      <w:r w:rsidRPr="002D7985">
        <w:rPr>
          <w:rFonts w:ascii="Garamond" w:hAnsi="Garamond"/>
          <w:sz w:val="28"/>
        </w:rPr>
        <w:tab/>
      </w:r>
      <w:r w:rsidRPr="002D7985">
        <w:rPr>
          <w:rFonts w:ascii="Garamond" w:hAnsi="Garamond" w:cs="Arial"/>
          <w:sz w:val="28"/>
          <w:szCs w:val="26"/>
        </w:rPr>
        <w:t xml:space="preserve">The </w:t>
      </w:r>
      <w:r w:rsidRPr="002D7985">
        <w:rPr>
          <w:rFonts w:ascii="Garamond" w:hAnsi="Garamond" w:cs="Arial"/>
          <w:color w:val="1A1A1A"/>
          <w:sz w:val="28"/>
          <w:szCs w:val="26"/>
        </w:rPr>
        <w:t>absolute</w:t>
      </w:r>
      <w:r w:rsidRPr="002D7985">
        <w:rPr>
          <w:rFonts w:ascii="Garamond" w:hAnsi="Garamond" w:cs="Arial"/>
          <w:sz w:val="28"/>
          <w:szCs w:val="26"/>
        </w:rPr>
        <w:t xml:space="preserve"> </w:t>
      </w:r>
      <w:r w:rsidRPr="002D7985">
        <w:rPr>
          <w:rFonts w:ascii="Garamond" w:hAnsi="Garamond" w:cs="Arial"/>
          <w:color w:val="1A1A1A"/>
          <w:sz w:val="28"/>
          <w:szCs w:val="26"/>
        </w:rPr>
        <w:t>priority</w:t>
      </w:r>
      <w:r w:rsidRPr="002D7985">
        <w:rPr>
          <w:rFonts w:ascii="Garamond" w:hAnsi="Garamond" w:cs="Arial"/>
          <w:sz w:val="28"/>
          <w:szCs w:val="26"/>
        </w:rPr>
        <w:t xml:space="preserve"> </w:t>
      </w:r>
      <w:r w:rsidRPr="002D7985">
        <w:rPr>
          <w:rFonts w:ascii="Garamond" w:hAnsi="Garamond" w:cs="Arial"/>
          <w:color w:val="1A1A1A"/>
          <w:sz w:val="28"/>
          <w:szCs w:val="26"/>
        </w:rPr>
        <w:t>rule</w:t>
      </w:r>
      <w:r w:rsidRPr="002D7985">
        <w:rPr>
          <w:rFonts w:ascii="Garamond" w:hAnsi="Garamond" w:cs="Arial"/>
          <w:sz w:val="28"/>
          <w:szCs w:val="26"/>
        </w:rPr>
        <w:t xml:space="preserve"> itself predates the Bankruptcy Code.  </w:t>
      </w:r>
      <w:r w:rsidRPr="002D7985">
        <w:rPr>
          <w:rFonts w:ascii="Garamond" w:hAnsi="Garamond"/>
          <w:sz w:val="28"/>
        </w:rPr>
        <w:t xml:space="preserve">It developed under the previous Bankruptcy Act as a judicially created doctrine to protect unsecured creditors from unscrupulous management and shareholders in corporate reorganizations.  Fairness and equity required that “creditors…be paid before the stockholders could retain [equity interests] for any purposes whatever.” </w:t>
      </w:r>
      <w:proofErr w:type="gramStart"/>
      <w:r w:rsidRPr="00271467">
        <w:rPr>
          <w:rFonts w:ascii="Garamond" w:hAnsi="Garamond"/>
          <w:i/>
          <w:sz w:val="28"/>
        </w:rPr>
        <w:t xml:space="preserve">Bank of Am. Nat. Trust and </w:t>
      </w:r>
      <w:proofErr w:type="spellStart"/>
      <w:r w:rsidRPr="00271467">
        <w:rPr>
          <w:rFonts w:ascii="Garamond" w:hAnsi="Garamond"/>
          <w:i/>
          <w:sz w:val="28"/>
        </w:rPr>
        <w:t>Sav</w:t>
      </w:r>
      <w:proofErr w:type="spellEnd"/>
      <w:r w:rsidRPr="00271467">
        <w:rPr>
          <w:rFonts w:ascii="Garamond" w:hAnsi="Garamond"/>
          <w:i/>
          <w:sz w:val="28"/>
        </w:rPr>
        <w:t>.</w:t>
      </w:r>
      <w:proofErr w:type="gramEnd"/>
      <w:r w:rsidRPr="00271467">
        <w:rPr>
          <w:rFonts w:ascii="Garamond" w:hAnsi="Garamond"/>
          <w:i/>
          <w:sz w:val="28"/>
        </w:rPr>
        <w:t xml:space="preserve"> </w:t>
      </w:r>
      <w:proofErr w:type="spellStart"/>
      <w:proofErr w:type="gramStart"/>
      <w:r w:rsidRPr="00271467">
        <w:rPr>
          <w:rFonts w:ascii="Garamond" w:hAnsi="Garamond"/>
          <w:i/>
          <w:sz w:val="28"/>
        </w:rPr>
        <w:t>Ass’n</w:t>
      </w:r>
      <w:proofErr w:type="spellEnd"/>
      <w:r w:rsidRPr="00271467">
        <w:rPr>
          <w:rFonts w:ascii="Garamond" w:hAnsi="Garamond"/>
          <w:i/>
          <w:sz w:val="28"/>
        </w:rPr>
        <w:t xml:space="preserve"> v. 203 North LaSalle St. </w:t>
      </w:r>
      <w:proofErr w:type="spellStart"/>
      <w:r w:rsidRPr="00271467">
        <w:rPr>
          <w:rFonts w:ascii="Garamond" w:hAnsi="Garamond"/>
          <w:i/>
          <w:sz w:val="28"/>
        </w:rPr>
        <w:t>P’ship</w:t>
      </w:r>
      <w:proofErr w:type="spellEnd"/>
      <w:r>
        <w:rPr>
          <w:rFonts w:ascii="Garamond" w:hAnsi="Garamond"/>
          <w:sz w:val="28"/>
        </w:rPr>
        <w:t>, 526 U.S. 434, 444 (1999).</w:t>
      </w:r>
      <w:proofErr w:type="gramEnd"/>
      <w:r w:rsidRPr="002D7985">
        <w:rPr>
          <w:rFonts w:ascii="Garamond" w:hAnsi="Garamond"/>
          <w:sz w:val="28"/>
        </w:rPr>
        <w:t xml:space="preserve"> The absolute priority rule was codified in the Bankruptcy Code as section 1129(b</w:t>
      </w:r>
      <w:proofErr w:type="gramStart"/>
      <w:r w:rsidRPr="002D7985">
        <w:rPr>
          <w:rFonts w:ascii="Garamond" w:hAnsi="Garamond"/>
          <w:sz w:val="28"/>
        </w:rPr>
        <w:t>)(</w:t>
      </w:r>
      <w:proofErr w:type="gramEnd"/>
      <w:r w:rsidRPr="002D7985">
        <w:rPr>
          <w:rFonts w:ascii="Garamond" w:hAnsi="Garamond"/>
          <w:sz w:val="28"/>
        </w:rPr>
        <w:t>2)(B).</w:t>
      </w:r>
      <w:r>
        <w:rPr>
          <w:rFonts w:ascii="Garamond" w:hAnsi="Garamond"/>
          <w:sz w:val="28"/>
        </w:rPr>
        <w:t xml:space="preserve"> The effect of the absolute priority rule was to make it almost impossible for shareholders to retain their interest in the reorganized debtor in the absence of a plan that paid 100% to creditors.  The judicial exception to the absolute priority rule that permits equity to retain an interest in the reorganized debtor by contributing “new value” has provided a mechanism for corporate shareholders to contribute new capital, but provides little relief to sole proprietors and other individual chapter 11 debtors.  </w:t>
      </w:r>
      <w:proofErr w:type="gramStart"/>
      <w:r w:rsidRPr="00271467">
        <w:rPr>
          <w:rFonts w:ascii="Garamond" w:hAnsi="Garamond"/>
          <w:i/>
          <w:sz w:val="28"/>
        </w:rPr>
        <w:t xml:space="preserve">See Norwest Bank Worthington v. </w:t>
      </w:r>
      <w:proofErr w:type="spellStart"/>
      <w:r w:rsidRPr="00271467">
        <w:rPr>
          <w:rFonts w:ascii="Garamond" w:hAnsi="Garamond"/>
          <w:i/>
          <w:sz w:val="28"/>
        </w:rPr>
        <w:t>Ahlers</w:t>
      </w:r>
      <w:proofErr w:type="spellEnd"/>
      <w:r>
        <w:rPr>
          <w:rFonts w:ascii="Garamond" w:hAnsi="Garamond"/>
          <w:sz w:val="28"/>
        </w:rPr>
        <w:t>, 485 U.S. 197 (1988).</w:t>
      </w:r>
      <w:proofErr w:type="gramEnd"/>
    </w:p>
    <w:p w:rsidR="00607BFE" w:rsidRPr="002D7985" w:rsidRDefault="00607BFE" w:rsidP="00607BFE">
      <w:pPr>
        <w:spacing w:line="480" w:lineRule="auto"/>
        <w:rPr>
          <w:rFonts w:ascii="Garamond" w:hAnsi="Garamond"/>
          <w:sz w:val="28"/>
        </w:rPr>
      </w:pPr>
      <w:r w:rsidRPr="002D7985">
        <w:rPr>
          <w:rFonts w:ascii="Garamond" w:hAnsi="Garamond"/>
          <w:sz w:val="28"/>
        </w:rPr>
        <w:tab/>
        <w:t>In 2005, Congress made significant amendments to chapter 11, applicable only to individual debtors, to make the</w:t>
      </w:r>
      <w:r>
        <w:rPr>
          <w:rFonts w:ascii="Garamond" w:hAnsi="Garamond"/>
          <w:sz w:val="28"/>
        </w:rPr>
        <w:t xml:space="preserve"> administration of their cases </w:t>
      </w:r>
      <w:r w:rsidRPr="002D7985">
        <w:rPr>
          <w:rFonts w:ascii="Garamond" w:hAnsi="Garamond"/>
          <w:sz w:val="28"/>
        </w:rPr>
        <w:t xml:space="preserve">more similar to chapter 13 </w:t>
      </w:r>
      <w:r>
        <w:rPr>
          <w:rFonts w:ascii="Garamond" w:hAnsi="Garamond"/>
          <w:sz w:val="28"/>
        </w:rPr>
        <w:t>cases</w:t>
      </w:r>
      <w:r w:rsidRPr="002D7985">
        <w:rPr>
          <w:rFonts w:ascii="Garamond" w:hAnsi="Garamond"/>
          <w:sz w:val="28"/>
        </w:rPr>
        <w:t>, including:</w:t>
      </w:r>
    </w:p>
    <w:p w:rsidR="00607BFE" w:rsidRPr="002D7985" w:rsidRDefault="00607BFE" w:rsidP="00607BFE">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39"/>
        </w:tabs>
        <w:ind w:left="1080" w:hanging="360"/>
        <w:rPr>
          <w:rFonts w:ascii="Garamond" w:hAnsi="Garamond"/>
          <w:sz w:val="28"/>
        </w:rPr>
      </w:pPr>
      <w:r w:rsidRPr="002D7985">
        <w:rPr>
          <w:rFonts w:ascii="Garamond" w:hAnsi="Garamond"/>
          <w:sz w:val="28"/>
        </w:rPr>
        <w:tab/>
        <w:t>“• redefining property of the estate in chapter 11 under Section 1115 along the lines of property of the estate under Section 1306;</w:t>
      </w:r>
    </w:p>
    <w:p w:rsidR="00607BFE" w:rsidRPr="002D7985" w:rsidRDefault="00607BFE" w:rsidP="00607BFE">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39"/>
        </w:tabs>
        <w:ind w:left="1080" w:hanging="360"/>
        <w:rPr>
          <w:rFonts w:ascii="Garamond" w:hAnsi="Garamond"/>
          <w:sz w:val="28"/>
        </w:rPr>
      </w:pPr>
      <w:r w:rsidRPr="002D7985">
        <w:rPr>
          <w:rFonts w:ascii="Garamond" w:hAnsi="Garamond"/>
          <w:sz w:val="28"/>
        </w:rPr>
        <w:tab/>
        <w:t>• changing the mandatory contents of a plan pursuant to Section 1123(a</w:t>
      </w:r>
      <w:proofErr w:type="gramStart"/>
      <w:r w:rsidRPr="002D7985">
        <w:rPr>
          <w:rFonts w:ascii="Garamond" w:hAnsi="Garamond"/>
          <w:sz w:val="28"/>
        </w:rPr>
        <w:t>)(</w:t>
      </w:r>
      <w:proofErr w:type="gramEnd"/>
      <w:r w:rsidRPr="002D7985">
        <w:rPr>
          <w:rFonts w:ascii="Garamond" w:hAnsi="Garamond"/>
          <w:sz w:val="28"/>
        </w:rPr>
        <w:t>8) to resemble Section 1322(a)(1);</w:t>
      </w:r>
    </w:p>
    <w:p w:rsidR="00607BFE" w:rsidRPr="002D7985" w:rsidRDefault="00607BFE" w:rsidP="00607BFE">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39"/>
        </w:tabs>
        <w:ind w:left="1080" w:hanging="360"/>
        <w:rPr>
          <w:rFonts w:ascii="Garamond" w:hAnsi="Garamond"/>
          <w:sz w:val="28"/>
        </w:rPr>
      </w:pPr>
      <w:r w:rsidRPr="002D7985">
        <w:rPr>
          <w:rFonts w:ascii="Garamond" w:hAnsi="Garamond"/>
          <w:sz w:val="28"/>
        </w:rPr>
        <w:tab/>
        <w:t>• adding the disposable income test of Section 1325(b) to Section 1129(a</w:t>
      </w:r>
      <w:proofErr w:type="gramStart"/>
      <w:r w:rsidRPr="002D7985">
        <w:rPr>
          <w:rFonts w:ascii="Garamond" w:hAnsi="Garamond"/>
          <w:sz w:val="28"/>
        </w:rPr>
        <w:t>)(</w:t>
      </w:r>
      <w:proofErr w:type="gramEnd"/>
      <w:r w:rsidRPr="002D7985">
        <w:rPr>
          <w:rFonts w:ascii="Garamond" w:hAnsi="Garamond"/>
          <w:sz w:val="28"/>
        </w:rPr>
        <w:t>15);</w:t>
      </w:r>
    </w:p>
    <w:p w:rsidR="00607BFE" w:rsidRPr="002D7985" w:rsidRDefault="00607BFE" w:rsidP="00607BFE">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39"/>
        </w:tabs>
        <w:ind w:left="1080" w:hanging="360"/>
        <w:rPr>
          <w:rFonts w:ascii="Garamond" w:hAnsi="Garamond"/>
          <w:sz w:val="28"/>
        </w:rPr>
      </w:pPr>
      <w:r w:rsidRPr="002D7985">
        <w:rPr>
          <w:rFonts w:ascii="Garamond" w:hAnsi="Garamond"/>
          <w:sz w:val="28"/>
        </w:rPr>
        <w:tab/>
        <w:t>• delaying the discharge until completion of all plan payments as in Section 1328(a);</w:t>
      </w:r>
    </w:p>
    <w:p w:rsidR="00607BFE" w:rsidRPr="002D7985" w:rsidRDefault="00607BFE" w:rsidP="00607BFE">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39"/>
        </w:tabs>
        <w:ind w:left="1080" w:hanging="360"/>
        <w:rPr>
          <w:rFonts w:ascii="Garamond" w:hAnsi="Garamond"/>
          <w:sz w:val="28"/>
        </w:rPr>
      </w:pPr>
      <w:r w:rsidRPr="002D7985">
        <w:rPr>
          <w:rFonts w:ascii="Garamond" w:hAnsi="Garamond"/>
          <w:sz w:val="28"/>
        </w:rPr>
        <w:tab/>
        <w:t>• permitting discharge for cause before all payments are completed pursuant to Section 1141(d</w:t>
      </w:r>
      <w:proofErr w:type="gramStart"/>
      <w:r w:rsidRPr="002D7985">
        <w:rPr>
          <w:rFonts w:ascii="Garamond" w:hAnsi="Garamond"/>
          <w:sz w:val="28"/>
        </w:rPr>
        <w:t>)(</w:t>
      </w:r>
      <w:proofErr w:type="gramEnd"/>
      <w:r w:rsidRPr="002D7985">
        <w:rPr>
          <w:rFonts w:ascii="Garamond" w:hAnsi="Garamond"/>
          <w:sz w:val="28"/>
        </w:rPr>
        <w:t>5), similar to the hardship discharge of Section 1328(b); and</w:t>
      </w:r>
    </w:p>
    <w:p w:rsidR="00607BFE" w:rsidRPr="002D7985" w:rsidRDefault="00607BFE" w:rsidP="00607BFE">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39"/>
        </w:tabs>
        <w:ind w:left="1080" w:hanging="360"/>
        <w:rPr>
          <w:rFonts w:ascii="Garamond" w:hAnsi="Garamond"/>
          <w:sz w:val="28"/>
        </w:rPr>
      </w:pPr>
      <w:r w:rsidRPr="002D7985">
        <w:rPr>
          <w:rFonts w:ascii="Garamond" w:hAnsi="Garamond"/>
          <w:sz w:val="28"/>
        </w:rPr>
        <w:tab/>
      </w:r>
      <w:proofErr w:type="gramStart"/>
      <w:r w:rsidRPr="002D7985">
        <w:rPr>
          <w:rFonts w:ascii="Garamond" w:hAnsi="Garamond"/>
          <w:sz w:val="28"/>
        </w:rPr>
        <w:t>• the addition of Section 1127(e) to permit the modification of a plan even after substantial consummation for purposes similar to Section 1329(a).”</w:t>
      </w:r>
      <w:proofErr w:type="gramEnd"/>
    </w:p>
    <w:p w:rsidR="00607BFE" w:rsidRPr="002D7985" w:rsidRDefault="00607BFE" w:rsidP="00607B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rPr>
          <w:rFonts w:ascii="Garamond" w:hAnsi="Garamond"/>
          <w:sz w:val="28"/>
        </w:rPr>
      </w:pPr>
    </w:p>
    <w:p w:rsidR="00607BFE" w:rsidRDefault="00607BFE" w:rsidP="00607B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spacing w:line="480" w:lineRule="auto"/>
        <w:rPr>
          <w:rFonts w:ascii="Garamond" w:hAnsi="Garamond"/>
          <w:sz w:val="28"/>
        </w:rPr>
      </w:pPr>
      <w:r w:rsidRPr="002D7985">
        <w:rPr>
          <w:rFonts w:ascii="Garamond" w:hAnsi="Garamond"/>
          <w:i/>
          <w:sz w:val="28"/>
        </w:rPr>
        <w:t>In re Shat</w:t>
      </w:r>
      <w:r w:rsidRPr="002D7985">
        <w:rPr>
          <w:rFonts w:ascii="Garamond" w:hAnsi="Garamond"/>
          <w:sz w:val="28"/>
        </w:rPr>
        <w:t xml:space="preserve">, 424 B.R. at 862, </w:t>
      </w:r>
      <w:r w:rsidRPr="00271467">
        <w:rPr>
          <w:rFonts w:ascii="Garamond" w:hAnsi="Garamond"/>
          <w:i/>
          <w:sz w:val="28"/>
        </w:rPr>
        <w:t>citing</w:t>
      </w:r>
      <w:r w:rsidRPr="002D7985">
        <w:rPr>
          <w:rFonts w:ascii="Garamond" w:hAnsi="Garamond"/>
          <w:sz w:val="28"/>
        </w:rPr>
        <w:t xml:space="preserve"> 5 Keith M. </w:t>
      </w:r>
      <w:proofErr w:type="spellStart"/>
      <w:r w:rsidRPr="002D7985">
        <w:rPr>
          <w:rFonts w:ascii="Garamond" w:hAnsi="Garamond"/>
          <w:sz w:val="28"/>
        </w:rPr>
        <w:t>Lundin</w:t>
      </w:r>
      <w:proofErr w:type="spellEnd"/>
      <w:r w:rsidRPr="002D7985">
        <w:rPr>
          <w:rFonts w:ascii="Garamond" w:hAnsi="Garamond"/>
          <w:sz w:val="28"/>
        </w:rPr>
        <w:t>, Chapter 13 Bankruptcy § 368.1 at 368-1 to 368-</w:t>
      </w:r>
      <w:r>
        <w:rPr>
          <w:rFonts w:ascii="Garamond" w:hAnsi="Garamond"/>
          <w:sz w:val="28"/>
        </w:rPr>
        <w:t>5 (3d ed. 2000 &amp; Supp. 2006)</w:t>
      </w:r>
      <w:proofErr w:type="gramStart"/>
      <w:r>
        <w:rPr>
          <w:rFonts w:ascii="Garamond" w:hAnsi="Garamond"/>
          <w:sz w:val="28"/>
        </w:rPr>
        <w:t xml:space="preserve">;  </w:t>
      </w:r>
      <w:r w:rsidRPr="00831A46">
        <w:rPr>
          <w:rFonts w:ascii="Garamond" w:hAnsi="Garamond"/>
          <w:i/>
          <w:sz w:val="28"/>
        </w:rPr>
        <w:t>In</w:t>
      </w:r>
      <w:proofErr w:type="gramEnd"/>
      <w:r w:rsidRPr="00831A46">
        <w:rPr>
          <w:rFonts w:ascii="Garamond" w:hAnsi="Garamond"/>
          <w:i/>
          <w:sz w:val="28"/>
        </w:rPr>
        <w:t xml:space="preserve"> re</w:t>
      </w:r>
      <w:r>
        <w:rPr>
          <w:rFonts w:ascii="Garamond" w:hAnsi="Garamond"/>
          <w:sz w:val="28"/>
        </w:rPr>
        <w:t xml:space="preserve"> </w:t>
      </w:r>
      <w:proofErr w:type="spellStart"/>
      <w:r w:rsidRPr="00220C74">
        <w:rPr>
          <w:rFonts w:ascii="Garamond" w:hAnsi="Garamond"/>
          <w:i/>
          <w:sz w:val="28"/>
        </w:rPr>
        <w:t>Roedemeier</w:t>
      </w:r>
      <w:proofErr w:type="spellEnd"/>
      <w:r>
        <w:rPr>
          <w:rFonts w:ascii="Garamond" w:hAnsi="Garamond"/>
          <w:sz w:val="28"/>
        </w:rPr>
        <w:t>, 374 B.R. 264, 275-76 (</w:t>
      </w:r>
      <w:proofErr w:type="spellStart"/>
      <w:r>
        <w:rPr>
          <w:rFonts w:ascii="Garamond" w:hAnsi="Garamond"/>
          <w:sz w:val="28"/>
        </w:rPr>
        <w:t>Bankr</w:t>
      </w:r>
      <w:proofErr w:type="spellEnd"/>
      <w:r>
        <w:rPr>
          <w:rFonts w:ascii="Garamond" w:hAnsi="Garamond"/>
          <w:sz w:val="28"/>
        </w:rPr>
        <w:t xml:space="preserve">. D. Kan. 2007), </w:t>
      </w:r>
      <w:r w:rsidRPr="00220C74">
        <w:rPr>
          <w:rFonts w:ascii="Garamond" w:hAnsi="Garamond"/>
          <w:i/>
          <w:sz w:val="28"/>
        </w:rPr>
        <w:t>citing same</w:t>
      </w:r>
      <w:r>
        <w:rPr>
          <w:rFonts w:ascii="Garamond" w:hAnsi="Garamond"/>
          <w:sz w:val="28"/>
        </w:rPr>
        <w:t>.  Taken</w:t>
      </w:r>
      <w:r w:rsidRPr="002D7985">
        <w:rPr>
          <w:rFonts w:ascii="Garamond" w:hAnsi="Garamond"/>
          <w:sz w:val="28"/>
        </w:rPr>
        <w:t xml:space="preserve"> together, these changes indicate that Congress intended to </w:t>
      </w:r>
      <w:r>
        <w:rPr>
          <w:rFonts w:ascii="Garamond" w:hAnsi="Garamond"/>
          <w:sz w:val="28"/>
        </w:rPr>
        <w:t xml:space="preserve">harmonize the treatment of individual debtors under both reorganization chapters, and, as part of that harmonization, remove </w:t>
      </w:r>
      <w:r w:rsidRPr="002D7985">
        <w:rPr>
          <w:rFonts w:ascii="Garamond" w:hAnsi="Garamond"/>
          <w:sz w:val="28"/>
        </w:rPr>
        <w:t xml:space="preserve">the absolute priority rule </w:t>
      </w:r>
      <w:r>
        <w:rPr>
          <w:rFonts w:ascii="Garamond" w:hAnsi="Garamond"/>
          <w:sz w:val="28"/>
        </w:rPr>
        <w:t xml:space="preserve">as a factor for </w:t>
      </w:r>
      <w:r w:rsidRPr="002D7985">
        <w:rPr>
          <w:rFonts w:ascii="Garamond" w:hAnsi="Garamond"/>
          <w:sz w:val="28"/>
        </w:rPr>
        <w:t xml:space="preserve">individual chapter 11 debtors.  </w:t>
      </w:r>
      <w:proofErr w:type="spellStart"/>
      <w:r w:rsidRPr="002D7985">
        <w:rPr>
          <w:rFonts w:ascii="Garamond" w:hAnsi="Garamond"/>
          <w:i/>
          <w:sz w:val="28"/>
        </w:rPr>
        <w:t>Roedemeier</w:t>
      </w:r>
      <w:proofErr w:type="spellEnd"/>
      <w:r w:rsidRPr="002D7985">
        <w:rPr>
          <w:rFonts w:ascii="Garamond" w:hAnsi="Garamond"/>
          <w:sz w:val="28"/>
        </w:rPr>
        <w:t xml:space="preserve">, </w:t>
      </w:r>
      <w:proofErr w:type="gramStart"/>
      <w:r w:rsidRPr="002D7985">
        <w:rPr>
          <w:rFonts w:ascii="Garamond" w:hAnsi="Garamond"/>
          <w:sz w:val="28"/>
        </w:rPr>
        <w:t xml:space="preserve">374 B.R. </w:t>
      </w:r>
      <w:r>
        <w:rPr>
          <w:rFonts w:ascii="Garamond" w:hAnsi="Garamond"/>
          <w:sz w:val="28"/>
        </w:rPr>
        <w:t>at 276</w:t>
      </w:r>
      <w:proofErr w:type="gramEnd"/>
      <w:r>
        <w:rPr>
          <w:rFonts w:ascii="Garamond" w:hAnsi="Garamond"/>
          <w:sz w:val="28"/>
        </w:rPr>
        <w:t>.</w:t>
      </w:r>
    </w:p>
    <w:p w:rsidR="00607BFE" w:rsidRDefault="00607BFE" w:rsidP="00607B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spacing w:line="480" w:lineRule="auto"/>
        <w:rPr>
          <w:rFonts w:ascii="Garamond" w:hAnsi="Garamond"/>
          <w:sz w:val="28"/>
        </w:rPr>
      </w:pPr>
      <w:r>
        <w:rPr>
          <w:rFonts w:ascii="Garamond" w:hAnsi="Garamond"/>
          <w:sz w:val="28"/>
        </w:rPr>
        <w:tab/>
      </w:r>
      <w:r w:rsidRPr="002D7985">
        <w:rPr>
          <w:rFonts w:ascii="Garamond" w:hAnsi="Garamond"/>
          <w:sz w:val="28"/>
        </w:rPr>
        <w:t>The protection offered to unsecured creditors by the absolute priority rule in individual chapter 11 cases has been supplanted by the addition of the projected disposable income test. According to Congress, fairness and equity for unsecured creditors is embodied in the projected disposable income test</w:t>
      </w:r>
      <w:r>
        <w:rPr>
          <w:rFonts w:ascii="Garamond" w:hAnsi="Garamond"/>
          <w:sz w:val="28"/>
        </w:rPr>
        <w:t>, or means test,</w:t>
      </w:r>
      <w:r w:rsidRPr="002D7985">
        <w:rPr>
          <w:rFonts w:ascii="Garamond" w:hAnsi="Garamond"/>
          <w:sz w:val="28"/>
        </w:rPr>
        <w:t xml:space="preserve"> enacted as part of BAPCPA for both chapter 13 debtors and individual chapter 11 debtors.  </w:t>
      </w:r>
      <w:r>
        <w:rPr>
          <w:rFonts w:ascii="Garamond" w:hAnsi="Garamond"/>
          <w:sz w:val="28"/>
        </w:rPr>
        <w:t>The means</w:t>
      </w:r>
      <w:r w:rsidRPr="002D7985">
        <w:rPr>
          <w:rFonts w:ascii="Garamond" w:hAnsi="Garamond"/>
          <w:sz w:val="28"/>
        </w:rPr>
        <w:t xml:space="preserve"> test</w:t>
      </w:r>
      <w:r>
        <w:rPr>
          <w:rFonts w:ascii="Garamond" w:hAnsi="Garamond"/>
          <w:sz w:val="28"/>
        </w:rPr>
        <w:t>—</w:t>
      </w:r>
      <w:r w:rsidRPr="002D7985">
        <w:rPr>
          <w:rFonts w:ascii="Garamond" w:hAnsi="Garamond"/>
          <w:sz w:val="28"/>
        </w:rPr>
        <w:t>which</w:t>
      </w:r>
      <w:r>
        <w:rPr>
          <w:rFonts w:ascii="Garamond" w:hAnsi="Garamond"/>
          <w:sz w:val="28"/>
        </w:rPr>
        <w:t xml:space="preserve"> </w:t>
      </w:r>
      <w:r w:rsidRPr="002D7985">
        <w:rPr>
          <w:rFonts w:ascii="Garamond" w:hAnsi="Garamond"/>
          <w:sz w:val="28"/>
        </w:rPr>
        <w:t>applies in chapter 11 only to individual debtors</w:t>
      </w:r>
      <w:r>
        <w:rPr>
          <w:rFonts w:ascii="Garamond" w:hAnsi="Garamond"/>
          <w:sz w:val="28"/>
        </w:rPr>
        <w:t>—</w:t>
      </w:r>
      <w:r w:rsidRPr="002D7985">
        <w:rPr>
          <w:rFonts w:ascii="Garamond" w:hAnsi="Garamond"/>
          <w:sz w:val="28"/>
        </w:rPr>
        <w:t>permits</w:t>
      </w:r>
      <w:r>
        <w:rPr>
          <w:rFonts w:ascii="Garamond" w:hAnsi="Garamond"/>
          <w:sz w:val="28"/>
        </w:rPr>
        <w:t xml:space="preserve"> </w:t>
      </w:r>
      <w:r w:rsidRPr="002D7985">
        <w:rPr>
          <w:rFonts w:ascii="Garamond" w:hAnsi="Garamond"/>
          <w:sz w:val="28"/>
        </w:rPr>
        <w:t>the holder of an allowed unsecured claim to object to confirmation of the debtor’s plan</w:t>
      </w:r>
      <w:r>
        <w:rPr>
          <w:rFonts w:ascii="Garamond" w:hAnsi="Garamond"/>
          <w:sz w:val="28"/>
        </w:rPr>
        <w:t xml:space="preserve"> if the plan fails to pay</w:t>
      </w:r>
      <w:r w:rsidRPr="002D7985">
        <w:rPr>
          <w:rFonts w:ascii="Garamond" w:hAnsi="Garamond"/>
          <w:sz w:val="28"/>
        </w:rPr>
        <w:t xml:space="preserve"> that creditor in full</w:t>
      </w:r>
      <w:r>
        <w:rPr>
          <w:rFonts w:ascii="Garamond" w:hAnsi="Garamond"/>
          <w:sz w:val="28"/>
        </w:rPr>
        <w:t>,</w:t>
      </w:r>
      <w:r w:rsidRPr="002D7985">
        <w:rPr>
          <w:rFonts w:ascii="Garamond" w:hAnsi="Garamond"/>
          <w:sz w:val="28"/>
        </w:rPr>
        <w:t xml:space="preserve"> or the value of the property to be distributed under the plan </w:t>
      </w:r>
      <w:r>
        <w:rPr>
          <w:rFonts w:ascii="Garamond" w:hAnsi="Garamond"/>
          <w:sz w:val="28"/>
        </w:rPr>
        <w:t>is</w:t>
      </w:r>
      <w:r w:rsidRPr="002D7985">
        <w:rPr>
          <w:rFonts w:ascii="Garamond" w:hAnsi="Garamond"/>
          <w:sz w:val="28"/>
        </w:rPr>
        <w:t xml:space="preserve"> less than the debtor’s projected disposable income to be received during the 5-year period beginning on the date the first plan payment is due under the plan, or during the period for which the plan provides payments, whichever is longer.</w:t>
      </w:r>
      <w:r>
        <w:rPr>
          <w:rFonts w:ascii="Garamond" w:hAnsi="Garamond"/>
          <w:sz w:val="28"/>
        </w:rPr>
        <w:t xml:space="preserve">  11 U.S.C. § 1129(a</w:t>
      </w:r>
      <w:proofErr w:type="gramStart"/>
      <w:r>
        <w:rPr>
          <w:rFonts w:ascii="Garamond" w:hAnsi="Garamond"/>
          <w:sz w:val="28"/>
        </w:rPr>
        <w:t>)(</w:t>
      </w:r>
      <w:proofErr w:type="gramEnd"/>
      <w:r>
        <w:rPr>
          <w:rFonts w:ascii="Garamond" w:hAnsi="Garamond"/>
          <w:sz w:val="28"/>
        </w:rPr>
        <w:t>15).  Though chapter 13 debtors and individual chapter 11 debtors are now subject to the projected disposable income test, significantly,</w:t>
      </w:r>
      <w:r w:rsidRPr="002D7985">
        <w:rPr>
          <w:rFonts w:ascii="Garamond" w:hAnsi="Garamond"/>
          <w:sz w:val="28"/>
        </w:rPr>
        <w:t xml:space="preserve"> chapter 13 does not impose the absolute priority rule on debtors</w:t>
      </w:r>
      <w:r>
        <w:rPr>
          <w:rFonts w:ascii="Garamond" w:hAnsi="Garamond"/>
          <w:sz w:val="28"/>
        </w:rPr>
        <w:t xml:space="preserve">.  </w:t>
      </w:r>
      <w:r w:rsidRPr="00271467">
        <w:rPr>
          <w:rFonts w:ascii="Garamond" w:hAnsi="Garamond"/>
          <w:i/>
          <w:sz w:val="28"/>
        </w:rPr>
        <w:t xml:space="preserve">See </w:t>
      </w:r>
      <w:proofErr w:type="spellStart"/>
      <w:r w:rsidRPr="00271467">
        <w:rPr>
          <w:rFonts w:ascii="Garamond" w:hAnsi="Garamond"/>
          <w:i/>
          <w:sz w:val="28"/>
        </w:rPr>
        <w:t>Roedemeier</w:t>
      </w:r>
      <w:proofErr w:type="spellEnd"/>
      <w:r>
        <w:rPr>
          <w:rFonts w:ascii="Garamond" w:hAnsi="Garamond"/>
          <w:sz w:val="28"/>
        </w:rPr>
        <w:t xml:space="preserve">, </w:t>
      </w:r>
      <w:proofErr w:type="gramStart"/>
      <w:r>
        <w:rPr>
          <w:rFonts w:ascii="Garamond" w:hAnsi="Garamond"/>
          <w:sz w:val="28"/>
        </w:rPr>
        <w:t>374 B.R. at 276</w:t>
      </w:r>
      <w:proofErr w:type="gramEnd"/>
      <w:r>
        <w:rPr>
          <w:rFonts w:ascii="Garamond" w:hAnsi="Garamond"/>
          <w:sz w:val="28"/>
        </w:rPr>
        <w:t xml:space="preserve">. </w:t>
      </w:r>
    </w:p>
    <w:p w:rsidR="00607BFE" w:rsidRPr="002D7985" w:rsidRDefault="00607BFE" w:rsidP="00607B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spacing w:line="480" w:lineRule="auto"/>
        <w:rPr>
          <w:rFonts w:ascii="Garamond" w:hAnsi="Garamond"/>
          <w:sz w:val="28"/>
        </w:rPr>
      </w:pPr>
      <w:r>
        <w:rPr>
          <w:rFonts w:ascii="Garamond" w:hAnsi="Garamond"/>
          <w:sz w:val="28"/>
        </w:rPr>
        <w:tab/>
        <w:t xml:space="preserve">Indeed, it is incongruous for Congress to make chapter 11 for individuals more like chapter 13 through the 2005 amendments, but leave the absolute priority rule and limitations on “new value” intact.  Without abrogation of the absolute priority rule, it is difficult to discern the purpose of the chapter 13-like amendments to chapter 11.  </w:t>
      </w:r>
      <w:r w:rsidRPr="00220C74">
        <w:rPr>
          <w:rFonts w:ascii="Garamond" w:hAnsi="Garamond"/>
          <w:i/>
          <w:sz w:val="28"/>
        </w:rPr>
        <w:t xml:space="preserve">See </w:t>
      </w:r>
      <w:proofErr w:type="spellStart"/>
      <w:r w:rsidRPr="00220C74">
        <w:rPr>
          <w:rFonts w:ascii="Garamond" w:hAnsi="Garamond"/>
          <w:i/>
          <w:sz w:val="28"/>
        </w:rPr>
        <w:t>Roedemeier</w:t>
      </w:r>
      <w:proofErr w:type="spellEnd"/>
      <w:r>
        <w:rPr>
          <w:rFonts w:ascii="Garamond" w:hAnsi="Garamond"/>
          <w:sz w:val="28"/>
        </w:rPr>
        <w:t xml:space="preserve">, </w:t>
      </w:r>
      <w:proofErr w:type="gramStart"/>
      <w:r>
        <w:rPr>
          <w:rFonts w:ascii="Garamond" w:hAnsi="Garamond"/>
          <w:sz w:val="28"/>
        </w:rPr>
        <w:t>374 B.R. at 276</w:t>
      </w:r>
      <w:proofErr w:type="gramEnd"/>
      <w:r>
        <w:rPr>
          <w:rFonts w:ascii="Garamond" w:hAnsi="Garamond"/>
          <w:sz w:val="28"/>
        </w:rPr>
        <w:t xml:space="preserve">.  Pre-BACPA, the Bankruptcy Code made the absolute priority rule applicable to individual chapter 11 debtors while reserving to them their </w:t>
      </w:r>
      <w:proofErr w:type="spellStart"/>
      <w:r>
        <w:rPr>
          <w:rFonts w:ascii="Garamond" w:hAnsi="Garamond"/>
          <w:sz w:val="28"/>
        </w:rPr>
        <w:t>postpetition</w:t>
      </w:r>
      <w:proofErr w:type="spellEnd"/>
      <w:r>
        <w:rPr>
          <w:rFonts w:ascii="Garamond" w:hAnsi="Garamond"/>
          <w:sz w:val="28"/>
        </w:rPr>
        <w:t xml:space="preserve"> property and income, thus under the narrow view of sections 1129(b)(2)(B)(ii) and 1115 adopted by </w:t>
      </w:r>
      <w:proofErr w:type="spellStart"/>
      <w:r w:rsidRPr="00DB2E84">
        <w:rPr>
          <w:rFonts w:ascii="Garamond" w:hAnsi="Garamond"/>
          <w:i/>
          <w:sz w:val="28"/>
        </w:rPr>
        <w:t>Gbadebo</w:t>
      </w:r>
      <w:proofErr w:type="spellEnd"/>
      <w:r w:rsidRPr="00DB2E84">
        <w:rPr>
          <w:rFonts w:ascii="Garamond" w:hAnsi="Garamond"/>
          <w:i/>
          <w:sz w:val="28"/>
        </w:rPr>
        <w:t xml:space="preserve"> </w:t>
      </w:r>
      <w:r>
        <w:rPr>
          <w:rFonts w:ascii="Garamond" w:hAnsi="Garamond"/>
          <w:sz w:val="28"/>
        </w:rPr>
        <w:t>and its progeny, BAPCPA did little to change chapter 11 for individual debtors.   As is evidenced by the dearth of case law under section 1129(a</w:t>
      </w:r>
      <w:proofErr w:type="gramStart"/>
      <w:r>
        <w:rPr>
          <w:rFonts w:ascii="Garamond" w:hAnsi="Garamond"/>
          <w:sz w:val="28"/>
        </w:rPr>
        <w:t>)(</w:t>
      </w:r>
      <w:proofErr w:type="gramEnd"/>
      <w:r>
        <w:rPr>
          <w:rFonts w:ascii="Garamond" w:hAnsi="Garamond"/>
          <w:sz w:val="28"/>
        </w:rPr>
        <w:t xml:space="preserve">15) as compared to 1325(b), the projected disposable income test of section 1129(a)(15) is of little use to unsecured creditors so long as the absolute priority rule continues to applies to individual chapter 11 debtors.  In essence, the narrow view renders </w:t>
      </w:r>
      <w:proofErr w:type="spellStart"/>
      <w:r>
        <w:rPr>
          <w:rFonts w:ascii="Garamond" w:hAnsi="Garamond"/>
          <w:sz w:val="28"/>
        </w:rPr>
        <w:t>surplusage</w:t>
      </w:r>
      <w:proofErr w:type="spellEnd"/>
      <w:r>
        <w:rPr>
          <w:rFonts w:ascii="Garamond" w:hAnsi="Garamond"/>
          <w:sz w:val="28"/>
        </w:rPr>
        <w:t xml:space="preserve"> the 2005 amendments with respect to individual chapter 11 debtors. “‘[C]</w:t>
      </w:r>
      <w:proofErr w:type="spellStart"/>
      <w:r w:rsidRPr="00B02C3A">
        <w:rPr>
          <w:rFonts w:ascii="Garamond" w:hAnsi="Garamond"/>
          <w:sz w:val="28"/>
        </w:rPr>
        <w:t>ourts</w:t>
      </w:r>
      <w:proofErr w:type="spellEnd"/>
      <w:r w:rsidRPr="00B02C3A">
        <w:rPr>
          <w:rFonts w:ascii="Garamond" w:hAnsi="Garamond"/>
          <w:sz w:val="28"/>
        </w:rPr>
        <w:t xml:space="preserve"> should disfavor interpretations of</w:t>
      </w:r>
      <w:r>
        <w:rPr>
          <w:rFonts w:ascii="Garamond" w:hAnsi="Garamond"/>
          <w:sz w:val="28"/>
        </w:rPr>
        <w:t xml:space="preserve"> </w:t>
      </w:r>
      <w:r w:rsidRPr="00B02C3A">
        <w:rPr>
          <w:rFonts w:ascii="Garamond" w:hAnsi="Garamond"/>
          <w:sz w:val="28"/>
        </w:rPr>
        <w:t xml:space="preserve">statutes that render language superfluous.'" </w:t>
      </w:r>
      <w:proofErr w:type="gramStart"/>
      <w:r w:rsidRPr="006E75F5">
        <w:rPr>
          <w:rFonts w:ascii="Garamond" w:hAnsi="Garamond"/>
          <w:i/>
          <w:sz w:val="28"/>
        </w:rPr>
        <w:t xml:space="preserve">Conn. Nat'l Bank v. </w:t>
      </w:r>
      <w:proofErr w:type="spellStart"/>
      <w:r w:rsidRPr="006E75F5">
        <w:rPr>
          <w:rFonts w:ascii="Garamond" w:hAnsi="Garamond"/>
          <w:i/>
          <w:sz w:val="28"/>
        </w:rPr>
        <w:t>Germain</w:t>
      </w:r>
      <w:proofErr w:type="spellEnd"/>
      <w:r w:rsidRPr="00B02C3A">
        <w:rPr>
          <w:rFonts w:ascii="Garamond" w:hAnsi="Garamond"/>
          <w:sz w:val="28"/>
        </w:rPr>
        <w:t>, 503 U.S. 249,</w:t>
      </w:r>
      <w:r>
        <w:rPr>
          <w:rFonts w:ascii="Garamond" w:hAnsi="Garamond"/>
          <w:sz w:val="28"/>
        </w:rPr>
        <w:t xml:space="preserve"> </w:t>
      </w:r>
      <w:r w:rsidRPr="00B02C3A">
        <w:rPr>
          <w:rFonts w:ascii="Garamond" w:hAnsi="Garamond"/>
          <w:sz w:val="28"/>
        </w:rPr>
        <w:t xml:space="preserve">253, 112 </w:t>
      </w:r>
      <w:proofErr w:type="spellStart"/>
      <w:r w:rsidRPr="00B02C3A">
        <w:rPr>
          <w:rFonts w:ascii="Garamond" w:hAnsi="Garamond"/>
          <w:sz w:val="28"/>
        </w:rPr>
        <w:t>S.Ct</w:t>
      </w:r>
      <w:proofErr w:type="spellEnd"/>
      <w:r w:rsidRPr="00B02C3A">
        <w:rPr>
          <w:rFonts w:ascii="Garamond" w:hAnsi="Garamond"/>
          <w:sz w:val="28"/>
        </w:rPr>
        <w:t>. 1146, 117 L.Ed.2d 391 (1992)</w:t>
      </w:r>
      <w:r>
        <w:rPr>
          <w:rFonts w:ascii="Garamond" w:hAnsi="Garamond"/>
          <w:sz w:val="28"/>
        </w:rPr>
        <w:t>.</w:t>
      </w:r>
      <w:proofErr w:type="gramEnd"/>
    </w:p>
    <w:p w:rsidR="00607BFE" w:rsidRPr="00271467" w:rsidRDefault="00607BFE" w:rsidP="00607B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rPr>
          <w:rFonts w:ascii="Garamond" w:hAnsi="Garamond"/>
          <w:b/>
          <w:sz w:val="28"/>
        </w:rPr>
      </w:pPr>
      <w:r w:rsidRPr="00271467">
        <w:rPr>
          <w:rFonts w:ascii="Garamond" w:hAnsi="Garamond"/>
          <w:b/>
          <w:sz w:val="28"/>
        </w:rPr>
        <w:t>IV</w:t>
      </w:r>
      <w:proofErr w:type="gramStart"/>
      <w:r w:rsidRPr="00271467">
        <w:rPr>
          <w:rFonts w:ascii="Garamond" w:hAnsi="Garamond"/>
          <w:b/>
          <w:sz w:val="28"/>
        </w:rPr>
        <w:t>.  Retention</w:t>
      </w:r>
      <w:proofErr w:type="gramEnd"/>
      <w:r w:rsidRPr="00271467">
        <w:rPr>
          <w:rFonts w:ascii="Garamond" w:hAnsi="Garamond"/>
          <w:b/>
          <w:sz w:val="28"/>
        </w:rPr>
        <w:t xml:space="preserve"> of the absolute priority rule makes it virtually impossible for sole proprietors, who are individual chapter 11 debtors</w:t>
      </w:r>
      <w:r>
        <w:rPr>
          <w:rFonts w:ascii="Garamond" w:hAnsi="Garamond"/>
          <w:b/>
          <w:sz w:val="28"/>
        </w:rPr>
        <w:t>,</w:t>
      </w:r>
      <w:r w:rsidRPr="00271467">
        <w:rPr>
          <w:rFonts w:ascii="Garamond" w:hAnsi="Garamond"/>
          <w:b/>
          <w:sz w:val="28"/>
        </w:rPr>
        <w:t xml:space="preserve"> to confirm a plan of reorganization.</w:t>
      </w:r>
    </w:p>
    <w:p w:rsidR="00607BFE" w:rsidRDefault="00607BFE" w:rsidP="00607B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spacing w:line="480" w:lineRule="auto"/>
        <w:rPr>
          <w:rFonts w:ascii="Garamond" w:hAnsi="Garamond"/>
          <w:sz w:val="28"/>
        </w:rPr>
      </w:pPr>
      <w:r>
        <w:rPr>
          <w:rFonts w:ascii="Garamond" w:hAnsi="Garamond"/>
          <w:sz w:val="28"/>
        </w:rPr>
        <w:tab/>
        <w:t xml:space="preserve">As noted by the court in </w:t>
      </w:r>
      <w:proofErr w:type="spellStart"/>
      <w:r w:rsidRPr="006D2375">
        <w:rPr>
          <w:rFonts w:ascii="Garamond" w:hAnsi="Garamond"/>
          <w:i/>
          <w:sz w:val="28"/>
        </w:rPr>
        <w:t>In</w:t>
      </w:r>
      <w:proofErr w:type="spellEnd"/>
      <w:r w:rsidRPr="006D2375">
        <w:rPr>
          <w:rFonts w:ascii="Garamond" w:hAnsi="Garamond"/>
          <w:i/>
          <w:sz w:val="28"/>
        </w:rPr>
        <w:t xml:space="preserve"> re Shat</w:t>
      </w:r>
      <w:r>
        <w:rPr>
          <w:rFonts w:ascii="Garamond" w:hAnsi="Garamond"/>
          <w:sz w:val="28"/>
        </w:rPr>
        <w:t xml:space="preserve">, the uniform application of the absolute priority rule to individuals and </w:t>
      </w:r>
      <w:proofErr w:type="spellStart"/>
      <w:r>
        <w:rPr>
          <w:rFonts w:ascii="Garamond" w:hAnsi="Garamond"/>
          <w:sz w:val="28"/>
        </w:rPr>
        <w:t>nonindividuals</w:t>
      </w:r>
      <w:proofErr w:type="spellEnd"/>
      <w:r>
        <w:rPr>
          <w:rFonts w:ascii="Garamond" w:hAnsi="Garamond"/>
          <w:sz w:val="28"/>
        </w:rPr>
        <w:t xml:space="preserve"> </w:t>
      </w:r>
      <w:proofErr w:type="gramStart"/>
      <w:r>
        <w:rPr>
          <w:rFonts w:ascii="Garamond" w:hAnsi="Garamond"/>
          <w:sz w:val="28"/>
        </w:rPr>
        <w:t>alike,</w:t>
      </w:r>
      <w:proofErr w:type="gramEnd"/>
      <w:r>
        <w:rPr>
          <w:rFonts w:ascii="Garamond" w:hAnsi="Garamond"/>
          <w:sz w:val="28"/>
        </w:rPr>
        <w:t xml:space="preserve"> effectively means that individual debtors with small businesses could never confirm a chapter 11 plan.  </w:t>
      </w:r>
      <w:r w:rsidRPr="006D2375">
        <w:rPr>
          <w:rFonts w:ascii="Garamond" w:hAnsi="Garamond"/>
          <w:i/>
          <w:sz w:val="28"/>
        </w:rPr>
        <w:t>See</w:t>
      </w:r>
      <w:r>
        <w:rPr>
          <w:rFonts w:ascii="Garamond" w:hAnsi="Garamond"/>
          <w:sz w:val="28"/>
        </w:rPr>
        <w:t xml:space="preserve"> </w:t>
      </w:r>
      <w:proofErr w:type="gramStart"/>
      <w:r>
        <w:rPr>
          <w:rFonts w:ascii="Garamond" w:hAnsi="Garamond"/>
          <w:sz w:val="28"/>
        </w:rPr>
        <w:t>424 B.R.</w:t>
      </w:r>
      <w:proofErr w:type="gramEnd"/>
      <w:r>
        <w:rPr>
          <w:rFonts w:ascii="Garamond" w:hAnsi="Garamond"/>
          <w:sz w:val="28"/>
        </w:rPr>
        <w:t xml:space="preserve"> at 859.  By contrast, the </w:t>
      </w:r>
      <w:proofErr w:type="spellStart"/>
      <w:r w:rsidRPr="006D2375">
        <w:rPr>
          <w:rFonts w:ascii="Garamond" w:hAnsi="Garamond"/>
          <w:i/>
          <w:sz w:val="28"/>
        </w:rPr>
        <w:t>Gbadebo</w:t>
      </w:r>
      <w:proofErr w:type="spellEnd"/>
      <w:r>
        <w:rPr>
          <w:rFonts w:ascii="Garamond" w:hAnsi="Garamond"/>
          <w:sz w:val="28"/>
        </w:rPr>
        <w:t xml:space="preserve"> court found that all that was needed for individual debtors to obtain plan confirmation was to “sweeten the pot” so that holders of unsecured claims would vote in favor of the plan.  </w:t>
      </w:r>
      <w:proofErr w:type="gramStart"/>
      <w:r>
        <w:rPr>
          <w:rFonts w:ascii="Garamond" w:hAnsi="Garamond"/>
          <w:sz w:val="28"/>
        </w:rPr>
        <w:t>431 B.R. at 230-31.</w:t>
      </w:r>
      <w:proofErr w:type="gramEnd"/>
      <w:r>
        <w:rPr>
          <w:rFonts w:ascii="Garamond" w:hAnsi="Garamond"/>
          <w:sz w:val="28"/>
        </w:rPr>
        <w:t xml:space="preserve">    Based on the experience of NACBA members, we find reality to be closer to the description provided by the court in </w:t>
      </w:r>
      <w:r w:rsidRPr="00020827">
        <w:rPr>
          <w:rFonts w:ascii="Garamond" w:hAnsi="Garamond"/>
          <w:i/>
          <w:sz w:val="28"/>
        </w:rPr>
        <w:t>Shat</w:t>
      </w:r>
      <w:r>
        <w:rPr>
          <w:rFonts w:ascii="Garamond" w:hAnsi="Garamond"/>
          <w:sz w:val="28"/>
        </w:rPr>
        <w:t>.  Unsecured creditors routinely do not vote in favor of the plan even where they would receive, as they must under section 1129(a</w:t>
      </w:r>
      <w:proofErr w:type="gramStart"/>
      <w:r>
        <w:rPr>
          <w:rFonts w:ascii="Garamond" w:hAnsi="Garamond"/>
          <w:sz w:val="28"/>
        </w:rPr>
        <w:t>)(</w:t>
      </w:r>
      <w:proofErr w:type="gramEnd"/>
      <w:r>
        <w:rPr>
          <w:rFonts w:ascii="Garamond" w:hAnsi="Garamond"/>
          <w:sz w:val="28"/>
        </w:rPr>
        <w:t xml:space="preserve">7), more through the proposed chapter 11 plan that in a chapter 7 liquidation.  This is true, even where debtors are paying all that they can afford to pay and have committed all their projected disposable income to plan payments for five years.  The absolute priority rule as applied to individual chapter 11 debtors after the 2005 amendments runs counter to the basic principles of the Bankruptcy Code, which offer the honest but unfortunate debtor a fresh start, and of chapter 11, which favor reorganization over liquidation.   </w:t>
      </w:r>
    </w:p>
    <w:p w:rsidR="00607BFE" w:rsidRDefault="00607BFE" w:rsidP="00607B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spacing w:line="480" w:lineRule="auto"/>
        <w:jc w:val="center"/>
        <w:rPr>
          <w:rFonts w:ascii="Garamond" w:hAnsi="Garamond"/>
          <w:sz w:val="28"/>
        </w:rPr>
      </w:pPr>
      <w:r>
        <w:rPr>
          <w:rFonts w:ascii="Garamond" w:hAnsi="Garamond"/>
          <w:sz w:val="28"/>
        </w:rPr>
        <w:t>CONCLUSION</w:t>
      </w:r>
    </w:p>
    <w:p w:rsidR="00607BFE" w:rsidRDefault="00607BFE" w:rsidP="00607B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spacing w:line="480" w:lineRule="auto"/>
        <w:rPr>
          <w:rFonts w:ascii="Garamond" w:hAnsi="Garamond"/>
          <w:sz w:val="28"/>
        </w:rPr>
      </w:pPr>
      <w:r>
        <w:rPr>
          <w:rFonts w:ascii="Garamond" w:hAnsi="Garamond"/>
          <w:sz w:val="28"/>
        </w:rPr>
        <w:tab/>
        <w:t>For the reasons stated above, the opinion of the bankruptcy court below should be reversed.</w:t>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p>
    <w:p w:rsidR="00607BFE" w:rsidRPr="002D7985" w:rsidRDefault="00607BFE" w:rsidP="00607B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spacing w:line="480" w:lineRule="auto"/>
        <w:rPr>
          <w:rFonts w:ascii="Garamond" w:hAnsi="Garamond"/>
          <w:sz w:val="28"/>
        </w:rPr>
      </w:pP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sidRPr="002D7985">
        <w:rPr>
          <w:rFonts w:ascii="Garamond" w:hAnsi="Garamond"/>
          <w:sz w:val="28"/>
        </w:rPr>
        <w:t>Respectfully submitted,</w:t>
      </w:r>
    </w:p>
    <w:p w:rsidR="00607BFE" w:rsidRPr="002D7985" w:rsidRDefault="00607BFE" w:rsidP="00607BFE">
      <w:pPr>
        <w:rPr>
          <w:rFonts w:ascii="Garamond" w:hAnsi="Garamond"/>
          <w:sz w:val="28"/>
        </w:rPr>
      </w:pPr>
      <w:r w:rsidRPr="002D7985">
        <w:rPr>
          <w:rFonts w:ascii="Garamond" w:hAnsi="Garamond"/>
          <w:sz w:val="28"/>
        </w:rPr>
        <w:tab/>
      </w:r>
      <w:r w:rsidRPr="002D7985">
        <w:rPr>
          <w:rFonts w:ascii="Garamond" w:hAnsi="Garamond"/>
          <w:sz w:val="28"/>
        </w:rPr>
        <w:tab/>
      </w:r>
      <w:r w:rsidRPr="002D7985">
        <w:rPr>
          <w:rFonts w:ascii="Garamond" w:hAnsi="Garamond"/>
          <w:sz w:val="28"/>
        </w:rPr>
        <w:tab/>
      </w:r>
      <w:r w:rsidRPr="002D7985">
        <w:rPr>
          <w:rFonts w:ascii="Garamond" w:hAnsi="Garamond"/>
          <w:sz w:val="28"/>
        </w:rPr>
        <w:tab/>
      </w:r>
      <w:r w:rsidRPr="002D7985">
        <w:rPr>
          <w:rFonts w:ascii="Garamond" w:hAnsi="Garamond"/>
          <w:sz w:val="28"/>
        </w:rPr>
        <w:tab/>
      </w:r>
      <w:r w:rsidRPr="002D7985">
        <w:rPr>
          <w:rFonts w:ascii="Garamond" w:hAnsi="Garamond"/>
          <w:sz w:val="28"/>
        </w:rPr>
        <w:tab/>
        <w:t>__</w:t>
      </w:r>
      <w:r w:rsidRPr="002D7985">
        <w:rPr>
          <w:rFonts w:ascii="Garamond" w:hAnsi="Garamond"/>
          <w:sz w:val="28"/>
          <w:u w:val="single"/>
        </w:rPr>
        <w:t xml:space="preserve">/s/ Tara </w:t>
      </w:r>
      <w:proofErr w:type="spellStart"/>
      <w:r w:rsidRPr="002D7985">
        <w:rPr>
          <w:rFonts w:ascii="Garamond" w:hAnsi="Garamond"/>
          <w:sz w:val="28"/>
          <w:u w:val="single"/>
        </w:rPr>
        <w:t>Twomey</w:t>
      </w:r>
      <w:proofErr w:type="spellEnd"/>
      <w:r w:rsidRPr="002D7985">
        <w:rPr>
          <w:rFonts w:ascii="Garamond" w:hAnsi="Garamond"/>
          <w:sz w:val="28"/>
        </w:rPr>
        <w:t>_____________</w:t>
      </w:r>
    </w:p>
    <w:p w:rsidR="00607BFE" w:rsidRPr="002D7985" w:rsidRDefault="00607BFE" w:rsidP="00607BFE">
      <w:pPr>
        <w:ind w:left="4320"/>
        <w:rPr>
          <w:rFonts w:ascii="Garamond" w:hAnsi="Garamond"/>
          <w:smallCaps/>
          <w:sz w:val="28"/>
          <w:szCs w:val="26"/>
        </w:rPr>
      </w:pPr>
      <w:r w:rsidRPr="002D7985">
        <w:rPr>
          <w:rFonts w:ascii="Garamond" w:hAnsi="Garamond"/>
          <w:smallCaps/>
          <w:sz w:val="28"/>
          <w:szCs w:val="26"/>
        </w:rPr>
        <w:t xml:space="preserve">Tara </w:t>
      </w:r>
      <w:proofErr w:type="spellStart"/>
      <w:r w:rsidRPr="002D7985">
        <w:rPr>
          <w:rFonts w:ascii="Garamond" w:hAnsi="Garamond"/>
          <w:smallCaps/>
          <w:sz w:val="28"/>
          <w:szCs w:val="26"/>
        </w:rPr>
        <w:t>Twomey</w:t>
      </w:r>
      <w:proofErr w:type="spellEnd"/>
      <w:r w:rsidRPr="002D7985">
        <w:rPr>
          <w:rFonts w:ascii="Garamond" w:hAnsi="Garamond"/>
          <w:smallCaps/>
          <w:sz w:val="28"/>
          <w:szCs w:val="26"/>
        </w:rPr>
        <w:t>, Esq.</w:t>
      </w:r>
    </w:p>
    <w:p w:rsidR="00607BFE" w:rsidRPr="002D7985" w:rsidRDefault="00607BFE" w:rsidP="00607BFE">
      <w:pPr>
        <w:ind w:left="4320"/>
        <w:rPr>
          <w:rFonts w:ascii="Garamond" w:hAnsi="Garamond"/>
          <w:i/>
          <w:smallCaps/>
          <w:sz w:val="28"/>
          <w:szCs w:val="26"/>
        </w:rPr>
      </w:pPr>
      <w:r w:rsidRPr="002D7985">
        <w:rPr>
          <w:rFonts w:ascii="Garamond" w:hAnsi="Garamond"/>
          <w:smallCaps/>
          <w:sz w:val="28"/>
          <w:szCs w:val="26"/>
        </w:rPr>
        <w:t>Attorney for</w:t>
      </w:r>
      <w:r w:rsidRPr="002D7985">
        <w:rPr>
          <w:rFonts w:ascii="Garamond" w:hAnsi="Garamond"/>
          <w:i/>
          <w:smallCaps/>
          <w:sz w:val="28"/>
          <w:szCs w:val="26"/>
        </w:rPr>
        <w:t xml:space="preserve"> Amicus Curiae</w:t>
      </w:r>
    </w:p>
    <w:p w:rsidR="00607BFE" w:rsidRPr="002D7985" w:rsidRDefault="00607BFE" w:rsidP="00607BFE">
      <w:pPr>
        <w:ind w:left="4320"/>
        <w:rPr>
          <w:rFonts w:ascii="Garamond" w:hAnsi="Garamond"/>
          <w:smallCaps/>
          <w:sz w:val="28"/>
          <w:szCs w:val="26"/>
        </w:rPr>
      </w:pPr>
      <w:r w:rsidRPr="002D7985">
        <w:rPr>
          <w:rFonts w:ascii="Garamond" w:hAnsi="Garamond"/>
          <w:smallCaps/>
          <w:sz w:val="28"/>
          <w:szCs w:val="26"/>
        </w:rPr>
        <w:t>National assoc. of Consumer</w:t>
      </w:r>
    </w:p>
    <w:p w:rsidR="00607BFE" w:rsidRPr="002D7985" w:rsidRDefault="00607BFE" w:rsidP="00607BFE">
      <w:pPr>
        <w:ind w:left="4320"/>
        <w:rPr>
          <w:rFonts w:ascii="Garamond" w:hAnsi="Garamond"/>
          <w:smallCaps/>
          <w:sz w:val="28"/>
          <w:szCs w:val="26"/>
        </w:rPr>
      </w:pPr>
      <w:r w:rsidRPr="002D7985">
        <w:rPr>
          <w:rFonts w:ascii="Garamond" w:hAnsi="Garamond"/>
          <w:smallCaps/>
          <w:sz w:val="28"/>
          <w:szCs w:val="26"/>
        </w:rPr>
        <w:t xml:space="preserve">   Bankruptcy Attorneys</w:t>
      </w:r>
    </w:p>
    <w:p w:rsidR="00607BFE" w:rsidRPr="002D7985" w:rsidRDefault="00607BFE" w:rsidP="00607BFE">
      <w:pPr>
        <w:ind w:left="4320"/>
        <w:rPr>
          <w:rFonts w:ascii="Garamond" w:hAnsi="Garamond"/>
          <w:sz w:val="28"/>
          <w:szCs w:val="26"/>
        </w:rPr>
      </w:pPr>
      <w:r w:rsidRPr="002D7985">
        <w:rPr>
          <w:rFonts w:ascii="Garamond" w:hAnsi="Garamond"/>
          <w:sz w:val="28"/>
          <w:szCs w:val="26"/>
        </w:rPr>
        <w:t>1501 The Alameda</w:t>
      </w:r>
    </w:p>
    <w:p w:rsidR="00607BFE" w:rsidRPr="002D7985" w:rsidRDefault="00607BFE" w:rsidP="00607BFE">
      <w:pPr>
        <w:ind w:left="4320"/>
        <w:rPr>
          <w:rFonts w:ascii="Garamond" w:hAnsi="Garamond"/>
          <w:sz w:val="28"/>
          <w:szCs w:val="26"/>
        </w:rPr>
      </w:pPr>
      <w:r w:rsidRPr="002D7985">
        <w:rPr>
          <w:rFonts w:ascii="Garamond" w:hAnsi="Garamond"/>
          <w:sz w:val="28"/>
          <w:szCs w:val="26"/>
        </w:rPr>
        <w:t>San Jose, CA 95126</w:t>
      </w:r>
    </w:p>
    <w:p w:rsidR="00607BFE" w:rsidRPr="002D7985" w:rsidRDefault="00607BFE" w:rsidP="00607BFE">
      <w:pPr>
        <w:ind w:left="4320"/>
        <w:rPr>
          <w:rFonts w:ascii="Garamond" w:hAnsi="Garamond"/>
          <w:sz w:val="28"/>
          <w:szCs w:val="26"/>
        </w:rPr>
      </w:pPr>
      <w:r w:rsidRPr="002D7985">
        <w:rPr>
          <w:rFonts w:ascii="Garamond" w:hAnsi="Garamond"/>
          <w:sz w:val="28"/>
          <w:szCs w:val="26"/>
        </w:rPr>
        <w:t>(831) 229-0256</w:t>
      </w:r>
    </w:p>
    <w:p w:rsidR="00607BFE" w:rsidRPr="002D7985" w:rsidRDefault="00F0018F" w:rsidP="00607BFE">
      <w:pPr>
        <w:ind w:left="4320"/>
        <w:rPr>
          <w:rFonts w:ascii="Garamond" w:hAnsi="Garamond"/>
          <w:sz w:val="28"/>
          <w:szCs w:val="26"/>
        </w:rPr>
      </w:pPr>
      <w:hyperlink r:id="rId11" w:history="1">
        <w:r w:rsidR="00607BFE" w:rsidRPr="002D7985">
          <w:rPr>
            <w:rStyle w:val="Hyperlink"/>
            <w:rFonts w:ascii="Garamond" w:hAnsi="Garamond"/>
            <w:sz w:val="28"/>
            <w:szCs w:val="26"/>
          </w:rPr>
          <w:t>tara.twomey@comcast.net</w:t>
        </w:r>
      </w:hyperlink>
    </w:p>
    <w:p w:rsidR="00607BFE" w:rsidRPr="002D7985" w:rsidRDefault="00607BFE" w:rsidP="00607BFE">
      <w:pPr>
        <w:spacing w:line="480" w:lineRule="auto"/>
        <w:ind w:firstLine="720"/>
        <w:rPr>
          <w:rFonts w:ascii="Garamond" w:hAnsi="Garamond"/>
          <w:sz w:val="28"/>
          <w:szCs w:val="28"/>
        </w:rPr>
      </w:pPr>
    </w:p>
    <w:p w:rsidR="00607BFE" w:rsidRPr="002D7985" w:rsidRDefault="00607BFE" w:rsidP="00607BFE">
      <w:pPr>
        <w:spacing w:line="480" w:lineRule="auto"/>
        <w:rPr>
          <w:rFonts w:ascii="Garamond" w:hAnsi="Garamond"/>
          <w:sz w:val="28"/>
        </w:rPr>
      </w:pPr>
    </w:p>
    <w:p w:rsidR="00607BFE" w:rsidRPr="002D7985" w:rsidRDefault="00607BFE" w:rsidP="00607BFE">
      <w:pPr>
        <w:rPr>
          <w:rFonts w:ascii="Garamond" w:hAnsi="Garamond"/>
          <w:b/>
          <w:sz w:val="28"/>
          <w:szCs w:val="28"/>
        </w:rPr>
      </w:pPr>
      <w:r w:rsidRPr="002D7985">
        <w:rPr>
          <w:rFonts w:ascii="Garamond" w:hAnsi="Garamond"/>
          <w:b/>
          <w:sz w:val="28"/>
          <w:szCs w:val="28"/>
        </w:rPr>
        <w:br w:type="page"/>
      </w:r>
    </w:p>
    <w:p w:rsidR="00607BFE" w:rsidRPr="002D7985" w:rsidRDefault="00607BFE" w:rsidP="00607BFE">
      <w:pPr>
        <w:jc w:val="center"/>
        <w:rPr>
          <w:rFonts w:ascii="Garamond" w:hAnsi="Garamond"/>
          <w:b/>
          <w:sz w:val="28"/>
          <w:szCs w:val="28"/>
        </w:rPr>
      </w:pPr>
      <w:r w:rsidRPr="002D7985">
        <w:rPr>
          <w:rFonts w:ascii="Garamond" w:hAnsi="Garamond"/>
          <w:b/>
          <w:sz w:val="28"/>
          <w:szCs w:val="28"/>
        </w:rPr>
        <w:t>CERTIFICATE OF SERVICE</w:t>
      </w:r>
    </w:p>
    <w:p w:rsidR="00607BFE" w:rsidRPr="002D7985" w:rsidRDefault="00607BFE" w:rsidP="00607BFE">
      <w:pPr>
        <w:rPr>
          <w:rFonts w:ascii="Garamond" w:hAnsi="Garamond"/>
          <w:sz w:val="28"/>
          <w:szCs w:val="28"/>
        </w:rPr>
      </w:pPr>
    </w:p>
    <w:p w:rsidR="00607BFE" w:rsidRPr="002D7985" w:rsidRDefault="00607BFE" w:rsidP="00607BFE">
      <w:pPr>
        <w:widowControl w:val="0"/>
        <w:autoSpaceDE w:val="0"/>
        <w:autoSpaceDN w:val="0"/>
        <w:adjustRightInd w:val="0"/>
        <w:rPr>
          <w:rFonts w:ascii="Garamond" w:hAnsi="Garamond" w:cs="TimesNewRomanPSMT"/>
          <w:bCs w:val="0"/>
          <w:sz w:val="28"/>
          <w:szCs w:val="28"/>
        </w:rPr>
      </w:pPr>
      <w:r w:rsidRPr="002D7985">
        <w:rPr>
          <w:rFonts w:ascii="Garamond" w:hAnsi="Garamond" w:cs="TimesNewRomanPSMT"/>
          <w:bCs w:val="0"/>
          <w:sz w:val="28"/>
          <w:szCs w:val="28"/>
        </w:rPr>
        <w:t xml:space="preserve">I hereby certify that on </w:t>
      </w:r>
      <w:r>
        <w:rPr>
          <w:rFonts w:ascii="Garamond" w:hAnsi="Garamond" w:cs="TimesNewRomanPSMT"/>
          <w:bCs w:val="0"/>
          <w:sz w:val="28"/>
          <w:szCs w:val="28"/>
        </w:rPr>
        <w:t>June 21</w:t>
      </w:r>
      <w:r w:rsidRPr="002D7985">
        <w:rPr>
          <w:rFonts w:ascii="Garamond" w:hAnsi="Garamond" w:cs="TimesNewRomanPSMT"/>
          <w:bCs w:val="0"/>
          <w:sz w:val="28"/>
          <w:szCs w:val="28"/>
        </w:rPr>
        <w:t>, 2011, I electronically filed the foregoing document with the Clerk of the Court for the Bankruptcy Appellate Panel for the Ninth Circuit by using the CM/ECF system.</w:t>
      </w:r>
    </w:p>
    <w:p w:rsidR="00607BFE" w:rsidRPr="002D7985" w:rsidRDefault="00607BFE" w:rsidP="00607BFE">
      <w:pPr>
        <w:widowControl w:val="0"/>
        <w:autoSpaceDE w:val="0"/>
        <w:autoSpaceDN w:val="0"/>
        <w:adjustRightInd w:val="0"/>
        <w:rPr>
          <w:rFonts w:ascii="Garamond" w:hAnsi="Garamond" w:cs="TimesNewRomanPSMT"/>
          <w:bCs w:val="0"/>
          <w:sz w:val="28"/>
          <w:szCs w:val="28"/>
        </w:rPr>
      </w:pPr>
    </w:p>
    <w:p w:rsidR="00607BFE" w:rsidRPr="002D7985" w:rsidRDefault="00607BFE" w:rsidP="00607BFE">
      <w:pPr>
        <w:widowControl w:val="0"/>
        <w:autoSpaceDE w:val="0"/>
        <w:autoSpaceDN w:val="0"/>
        <w:adjustRightInd w:val="0"/>
        <w:rPr>
          <w:rFonts w:ascii="Garamond" w:hAnsi="Garamond" w:cs="TimesNewRomanPSMT"/>
          <w:bCs w:val="0"/>
          <w:sz w:val="28"/>
          <w:szCs w:val="28"/>
        </w:rPr>
      </w:pPr>
      <w:r w:rsidRPr="002D7985">
        <w:rPr>
          <w:rFonts w:ascii="Garamond" w:hAnsi="Garamond" w:cs="TimesNewRomanPSMT"/>
          <w:bCs w:val="0"/>
          <w:sz w:val="28"/>
          <w:szCs w:val="28"/>
        </w:rPr>
        <w:t>I further certify that parties of record to this appeal who either are registered</w:t>
      </w:r>
    </w:p>
    <w:p w:rsidR="00607BFE" w:rsidRPr="002D7985" w:rsidRDefault="00607BFE" w:rsidP="00607BFE">
      <w:pPr>
        <w:widowControl w:val="0"/>
        <w:autoSpaceDE w:val="0"/>
        <w:autoSpaceDN w:val="0"/>
        <w:adjustRightInd w:val="0"/>
        <w:rPr>
          <w:rFonts w:ascii="Garamond" w:hAnsi="Garamond" w:cs="TimesNewRomanPSMT"/>
          <w:bCs w:val="0"/>
          <w:sz w:val="28"/>
          <w:szCs w:val="28"/>
        </w:rPr>
      </w:pPr>
      <w:r w:rsidRPr="002D7985">
        <w:rPr>
          <w:rFonts w:ascii="Garamond" w:hAnsi="Garamond" w:cs="TimesNewRomanPSMT"/>
          <w:bCs w:val="0"/>
          <w:sz w:val="28"/>
          <w:szCs w:val="28"/>
        </w:rPr>
        <w:t>CM/ECF users, or who have registered for electronic notice, or who have</w:t>
      </w:r>
    </w:p>
    <w:p w:rsidR="00607BFE" w:rsidRPr="002D7985" w:rsidRDefault="00607BFE" w:rsidP="00607BFE">
      <w:pPr>
        <w:widowControl w:val="0"/>
        <w:autoSpaceDE w:val="0"/>
        <w:autoSpaceDN w:val="0"/>
        <w:adjustRightInd w:val="0"/>
        <w:rPr>
          <w:rFonts w:ascii="Garamond" w:hAnsi="Garamond" w:cs="TimesNewRomanPSMT"/>
          <w:bCs w:val="0"/>
          <w:sz w:val="28"/>
          <w:szCs w:val="28"/>
        </w:rPr>
      </w:pPr>
      <w:proofErr w:type="gramStart"/>
      <w:r w:rsidRPr="002D7985">
        <w:rPr>
          <w:rFonts w:ascii="Garamond" w:hAnsi="Garamond" w:cs="TimesNewRomanPSMT"/>
          <w:bCs w:val="0"/>
          <w:sz w:val="28"/>
          <w:szCs w:val="28"/>
        </w:rPr>
        <w:t>consented</w:t>
      </w:r>
      <w:proofErr w:type="gramEnd"/>
      <w:r w:rsidRPr="002D7985">
        <w:rPr>
          <w:rFonts w:ascii="Garamond" w:hAnsi="Garamond" w:cs="TimesNewRomanPSMT"/>
          <w:bCs w:val="0"/>
          <w:sz w:val="28"/>
          <w:szCs w:val="28"/>
        </w:rPr>
        <w:t xml:space="preserve"> in writing to electronic service, will be served through the CM/ECF system.</w:t>
      </w:r>
    </w:p>
    <w:p w:rsidR="00607BFE" w:rsidRPr="002D7985" w:rsidRDefault="00607BFE" w:rsidP="00607BFE">
      <w:pPr>
        <w:widowControl w:val="0"/>
        <w:autoSpaceDE w:val="0"/>
        <w:autoSpaceDN w:val="0"/>
        <w:adjustRightInd w:val="0"/>
        <w:rPr>
          <w:rFonts w:ascii="Garamond" w:hAnsi="Garamond" w:cs="TimesNewRomanPSMT"/>
          <w:bCs w:val="0"/>
          <w:sz w:val="28"/>
          <w:szCs w:val="28"/>
        </w:rPr>
      </w:pPr>
    </w:p>
    <w:p w:rsidR="007C7512" w:rsidRDefault="00607BFE" w:rsidP="00607BFE">
      <w:pPr>
        <w:widowControl w:val="0"/>
        <w:autoSpaceDE w:val="0"/>
        <w:autoSpaceDN w:val="0"/>
        <w:adjustRightInd w:val="0"/>
        <w:rPr>
          <w:rFonts w:ascii="Garamond" w:hAnsi="Garamond" w:cs="TimesNewRomanPSMT"/>
          <w:bCs w:val="0"/>
          <w:sz w:val="28"/>
          <w:szCs w:val="28"/>
        </w:rPr>
      </w:pPr>
      <w:r w:rsidRPr="002D7985">
        <w:rPr>
          <w:rFonts w:ascii="Garamond" w:hAnsi="Garamond" w:cs="TimesNewRomanPSMT"/>
          <w:bCs w:val="0"/>
          <w:sz w:val="28"/>
          <w:szCs w:val="28"/>
        </w:rPr>
        <w:t xml:space="preserve">I further certify that some of the parties of record to this appeal have not consented to electronic service. I have mailed the foregoing document by First-Class </w:t>
      </w:r>
      <w:proofErr w:type="gramStart"/>
      <w:r w:rsidRPr="002D7985">
        <w:rPr>
          <w:rFonts w:ascii="Garamond" w:hAnsi="Garamond" w:cs="TimesNewRomanPSMT"/>
          <w:bCs w:val="0"/>
          <w:sz w:val="28"/>
          <w:szCs w:val="28"/>
        </w:rPr>
        <w:t>Mail,</w:t>
      </w:r>
      <w:proofErr w:type="gramEnd"/>
      <w:r w:rsidRPr="002D7985">
        <w:rPr>
          <w:rFonts w:ascii="Garamond" w:hAnsi="Garamond" w:cs="TimesNewRomanPSMT"/>
          <w:bCs w:val="0"/>
          <w:sz w:val="28"/>
          <w:szCs w:val="28"/>
        </w:rPr>
        <w:t xml:space="preserve"> postage prepaid, or have dispatched it to a third party commercial carrier for delivery within 3 calendar days, to the following parties: </w:t>
      </w:r>
    </w:p>
    <w:p w:rsidR="007C7512" w:rsidRPr="00B706D3" w:rsidRDefault="007C7512" w:rsidP="007C7512">
      <w:pPr>
        <w:rPr>
          <w:sz w:val="28"/>
          <w:szCs w:val="28"/>
        </w:rPr>
      </w:pPr>
    </w:p>
    <w:p w:rsidR="007C7512" w:rsidRPr="00B706D3" w:rsidRDefault="007C7512" w:rsidP="007C7512">
      <w:pPr>
        <w:rPr>
          <w:rFonts w:cs="Arial"/>
          <w:sz w:val="26"/>
          <w:szCs w:val="26"/>
        </w:rPr>
      </w:pPr>
      <w:r w:rsidRPr="00B706D3">
        <w:rPr>
          <w:rFonts w:cs="Arial"/>
          <w:sz w:val="26"/>
          <w:szCs w:val="26"/>
        </w:rPr>
        <w:t xml:space="preserve">Elizabeth A. Wilson, Attorney </w:t>
      </w:r>
    </w:p>
    <w:p w:rsidR="007C7512" w:rsidRPr="00B706D3" w:rsidRDefault="007C7512" w:rsidP="007C7512">
      <w:pPr>
        <w:rPr>
          <w:rFonts w:cs="Arial"/>
          <w:sz w:val="26"/>
          <w:szCs w:val="26"/>
        </w:rPr>
      </w:pPr>
      <w:r w:rsidRPr="00B706D3">
        <w:rPr>
          <w:rFonts w:cs="Arial"/>
          <w:sz w:val="26"/>
          <w:szCs w:val="26"/>
        </w:rPr>
        <w:t xml:space="preserve">U. S. Attorney's Office </w:t>
      </w:r>
    </w:p>
    <w:p w:rsidR="007C7512" w:rsidRPr="00B706D3" w:rsidRDefault="007C7512" w:rsidP="007C7512">
      <w:pPr>
        <w:rPr>
          <w:rFonts w:cs="Arial"/>
          <w:sz w:val="26"/>
          <w:szCs w:val="26"/>
        </w:rPr>
      </w:pPr>
      <w:r w:rsidRPr="00B706D3">
        <w:rPr>
          <w:rFonts w:cs="Arial"/>
          <w:sz w:val="26"/>
          <w:szCs w:val="26"/>
        </w:rPr>
        <w:t xml:space="preserve">405 W. Congress, #4800 </w:t>
      </w:r>
    </w:p>
    <w:p w:rsidR="007C7512" w:rsidRPr="00B706D3" w:rsidRDefault="007C7512" w:rsidP="007C7512">
      <w:pPr>
        <w:rPr>
          <w:rFonts w:cs="Arial"/>
          <w:sz w:val="26"/>
          <w:szCs w:val="26"/>
        </w:rPr>
      </w:pPr>
      <w:r w:rsidRPr="00B706D3">
        <w:rPr>
          <w:rFonts w:cs="Arial"/>
          <w:sz w:val="26"/>
          <w:szCs w:val="26"/>
        </w:rPr>
        <w:t>Tucson, AZ 85701-504</w:t>
      </w:r>
    </w:p>
    <w:p w:rsidR="007C7512" w:rsidRPr="00B706D3" w:rsidRDefault="007C7512" w:rsidP="007C7512">
      <w:pPr>
        <w:rPr>
          <w:rFonts w:cs="Arial"/>
          <w:sz w:val="26"/>
          <w:szCs w:val="26"/>
        </w:rPr>
      </w:pPr>
    </w:p>
    <w:p w:rsidR="007C7512" w:rsidRPr="00B706D3" w:rsidRDefault="007C7512" w:rsidP="007C7512">
      <w:pPr>
        <w:rPr>
          <w:rFonts w:cs="Arial"/>
          <w:sz w:val="26"/>
          <w:szCs w:val="26"/>
        </w:rPr>
      </w:pPr>
      <w:r w:rsidRPr="00B706D3">
        <w:rPr>
          <w:rFonts w:cs="Arial"/>
          <w:sz w:val="26"/>
          <w:szCs w:val="26"/>
        </w:rPr>
        <w:t xml:space="preserve">Duncan E. Barber, Attorney </w:t>
      </w:r>
    </w:p>
    <w:p w:rsidR="007C7512" w:rsidRPr="00B706D3" w:rsidRDefault="007C7512" w:rsidP="007C7512">
      <w:pPr>
        <w:rPr>
          <w:rFonts w:cs="Arial"/>
          <w:sz w:val="26"/>
          <w:szCs w:val="26"/>
        </w:rPr>
      </w:pPr>
      <w:r w:rsidRPr="00B706D3">
        <w:rPr>
          <w:rFonts w:cs="Arial"/>
          <w:sz w:val="26"/>
          <w:szCs w:val="26"/>
        </w:rPr>
        <w:t xml:space="preserve">BIEGING SHAPIRO &amp; BURRUS LLP </w:t>
      </w:r>
    </w:p>
    <w:p w:rsidR="007C7512" w:rsidRPr="00B706D3" w:rsidRDefault="007C7512" w:rsidP="007C7512">
      <w:pPr>
        <w:rPr>
          <w:rFonts w:cs="Arial"/>
          <w:sz w:val="26"/>
          <w:szCs w:val="26"/>
        </w:rPr>
      </w:pPr>
      <w:r w:rsidRPr="00B706D3">
        <w:rPr>
          <w:rFonts w:cs="Arial"/>
          <w:sz w:val="26"/>
          <w:szCs w:val="26"/>
        </w:rPr>
        <w:t xml:space="preserve">Ste. 1650 </w:t>
      </w:r>
    </w:p>
    <w:p w:rsidR="007C7512" w:rsidRPr="00B706D3" w:rsidRDefault="007C7512" w:rsidP="007C7512">
      <w:pPr>
        <w:rPr>
          <w:rFonts w:cs="Arial"/>
          <w:sz w:val="26"/>
          <w:szCs w:val="26"/>
        </w:rPr>
      </w:pPr>
      <w:r w:rsidRPr="00B706D3">
        <w:rPr>
          <w:rFonts w:cs="Arial"/>
          <w:sz w:val="26"/>
          <w:szCs w:val="26"/>
        </w:rPr>
        <w:t xml:space="preserve">4582 South Ulster Street </w:t>
      </w:r>
    </w:p>
    <w:p w:rsidR="007C7512" w:rsidRPr="00B706D3" w:rsidRDefault="007C7512" w:rsidP="007C7512">
      <w:pPr>
        <w:rPr>
          <w:sz w:val="28"/>
          <w:szCs w:val="28"/>
        </w:rPr>
      </w:pPr>
      <w:r w:rsidRPr="00B706D3">
        <w:rPr>
          <w:rFonts w:cs="Arial"/>
          <w:sz w:val="26"/>
          <w:szCs w:val="26"/>
        </w:rPr>
        <w:t>Denver, CO 80237</w:t>
      </w:r>
    </w:p>
    <w:p w:rsidR="00607BFE" w:rsidRPr="002D7985" w:rsidRDefault="00607BFE" w:rsidP="00607BFE">
      <w:pPr>
        <w:widowControl w:val="0"/>
        <w:autoSpaceDE w:val="0"/>
        <w:autoSpaceDN w:val="0"/>
        <w:adjustRightInd w:val="0"/>
        <w:rPr>
          <w:rFonts w:ascii="Garamond" w:hAnsi="Garamond"/>
          <w:sz w:val="28"/>
          <w:szCs w:val="28"/>
        </w:rPr>
      </w:pPr>
    </w:p>
    <w:p w:rsidR="00607BFE" w:rsidRPr="002D7985" w:rsidRDefault="00607BFE" w:rsidP="00607BFE">
      <w:pPr>
        <w:spacing w:line="480" w:lineRule="auto"/>
        <w:ind w:firstLine="720"/>
        <w:rPr>
          <w:rFonts w:ascii="Garamond" w:hAnsi="Garamond"/>
          <w:sz w:val="28"/>
        </w:rPr>
      </w:pPr>
    </w:p>
    <w:p w:rsidR="00607BFE" w:rsidRPr="002D7985" w:rsidRDefault="00607BFE" w:rsidP="00607BFE">
      <w:pPr>
        <w:spacing w:line="480" w:lineRule="auto"/>
        <w:ind w:firstLine="720"/>
        <w:rPr>
          <w:rFonts w:ascii="Garamond" w:hAnsi="Garamond"/>
          <w:sz w:val="28"/>
        </w:rPr>
      </w:pPr>
    </w:p>
    <w:p w:rsidR="00607BFE" w:rsidRPr="002D7985" w:rsidRDefault="00607BFE" w:rsidP="00607BFE">
      <w:pPr>
        <w:spacing w:line="480" w:lineRule="auto"/>
        <w:ind w:firstLine="720"/>
        <w:rPr>
          <w:rFonts w:ascii="Garamond" w:hAnsi="Garamond"/>
          <w:sz w:val="28"/>
        </w:rPr>
      </w:pPr>
    </w:p>
    <w:p w:rsidR="00607BFE" w:rsidRPr="002D7985" w:rsidRDefault="00607BFE" w:rsidP="00607BFE">
      <w:pPr>
        <w:tabs>
          <w:tab w:val="left" w:pos="720"/>
          <w:tab w:val="left" w:pos="2160"/>
          <w:tab w:val="left" w:pos="2880"/>
          <w:tab w:val="left" w:pos="3600"/>
          <w:tab w:val="left" w:pos="4320"/>
          <w:tab w:val="left" w:pos="4680"/>
          <w:tab w:val="left" w:pos="5760"/>
          <w:tab w:val="left" w:pos="6480"/>
          <w:tab w:val="left" w:pos="7200"/>
          <w:tab w:val="left" w:pos="7920"/>
          <w:tab w:val="left" w:pos="8640"/>
          <w:tab w:val="right" w:pos="9360"/>
        </w:tabs>
        <w:ind w:left="4680"/>
        <w:rPr>
          <w:rFonts w:ascii="Garamond" w:hAnsi="Garamond"/>
          <w:sz w:val="28"/>
          <w:szCs w:val="28"/>
        </w:rPr>
      </w:pPr>
      <w:r w:rsidRPr="002D7985">
        <w:rPr>
          <w:rFonts w:ascii="Garamond" w:hAnsi="Garamond"/>
          <w:sz w:val="28"/>
          <w:szCs w:val="28"/>
        </w:rPr>
        <w:t>_</w:t>
      </w:r>
      <w:r w:rsidRPr="002D7985">
        <w:rPr>
          <w:rFonts w:ascii="Garamond" w:hAnsi="Garamond"/>
          <w:sz w:val="28"/>
          <w:szCs w:val="28"/>
          <w:u w:val="single"/>
        </w:rPr>
        <w:t xml:space="preserve">/s/ Tara </w:t>
      </w:r>
      <w:proofErr w:type="spellStart"/>
      <w:r w:rsidRPr="002D7985">
        <w:rPr>
          <w:rFonts w:ascii="Garamond" w:hAnsi="Garamond"/>
          <w:sz w:val="28"/>
          <w:szCs w:val="28"/>
          <w:u w:val="single"/>
        </w:rPr>
        <w:t>Twomey</w:t>
      </w:r>
      <w:proofErr w:type="spellEnd"/>
      <w:r w:rsidRPr="002D7985">
        <w:rPr>
          <w:rFonts w:ascii="Garamond" w:hAnsi="Garamond"/>
          <w:sz w:val="28"/>
          <w:szCs w:val="28"/>
        </w:rPr>
        <w:t>_____________</w:t>
      </w:r>
    </w:p>
    <w:p w:rsidR="00607BFE" w:rsidRPr="002D7985" w:rsidRDefault="00607BFE" w:rsidP="00607BFE">
      <w:pPr>
        <w:tabs>
          <w:tab w:val="left" w:pos="4680"/>
          <w:tab w:val="left" w:pos="5760"/>
        </w:tabs>
        <w:ind w:left="4680"/>
        <w:rPr>
          <w:rFonts w:ascii="Garamond" w:hAnsi="Garamond"/>
          <w:sz w:val="28"/>
        </w:rPr>
      </w:pPr>
      <w:r w:rsidRPr="002D7985">
        <w:rPr>
          <w:rFonts w:ascii="Garamond" w:hAnsi="Garamond"/>
          <w:sz w:val="28"/>
        </w:rPr>
        <w:t xml:space="preserve">Tara </w:t>
      </w:r>
      <w:proofErr w:type="spellStart"/>
      <w:r w:rsidRPr="002D7985">
        <w:rPr>
          <w:rFonts w:ascii="Garamond" w:hAnsi="Garamond"/>
          <w:sz w:val="28"/>
        </w:rPr>
        <w:t>Twomey</w:t>
      </w:r>
      <w:proofErr w:type="spellEnd"/>
      <w:r w:rsidRPr="002D7985">
        <w:rPr>
          <w:rFonts w:ascii="Garamond" w:hAnsi="Garamond"/>
          <w:sz w:val="28"/>
        </w:rPr>
        <w:t>, Esq.</w:t>
      </w:r>
    </w:p>
    <w:p w:rsidR="00607BFE" w:rsidRPr="002D7985" w:rsidRDefault="00607BFE" w:rsidP="00607BFE">
      <w:pPr>
        <w:tabs>
          <w:tab w:val="left" w:pos="4680"/>
          <w:tab w:val="left" w:pos="5760"/>
        </w:tabs>
        <w:ind w:left="4680"/>
        <w:rPr>
          <w:rFonts w:ascii="Garamond" w:hAnsi="Garamond"/>
          <w:sz w:val="28"/>
        </w:rPr>
      </w:pPr>
      <w:r w:rsidRPr="002D7985">
        <w:rPr>
          <w:rFonts w:ascii="Garamond" w:hAnsi="Garamond"/>
          <w:sz w:val="28"/>
        </w:rPr>
        <w:t>National Association of Consumer Bankruptcy Attorneys</w:t>
      </w:r>
    </w:p>
    <w:p w:rsidR="00607BFE" w:rsidRPr="002D7985" w:rsidRDefault="00607BFE" w:rsidP="00607BFE">
      <w:pPr>
        <w:tabs>
          <w:tab w:val="left" w:pos="-720"/>
          <w:tab w:val="left" w:pos="720"/>
          <w:tab w:val="left" w:pos="1440"/>
          <w:tab w:val="left" w:pos="2160"/>
          <w:tab w:val="left" w:pos="2880"/>
          <w:tab w:val="left" w:pos="3600"/>
          <w:tab w:val="left" w:pos="4320"/>
          <w:tab w:val="left" w:pos="4680"/>
          <w:tab w:val="left" w:pos="5760"/>
        </w:tabs>
        <w:suppressAutoHyphens/>
        <w:ind w:left="4680" w:hanging="5040"/>
        <w:rPr>
          <w:rFonts w:ascii="Garamond" w:hAnsi="Garamond"/>
          <w:sz w:val="28"/>
        </w:rPr>
      </w:pPr>
      <w:r w:rsidRPr="002D7985">
        <w:rPr>
          <w:rFonts w:ascii="Garamond" w:hAnsi="Garamond"/>
          <w:sz w:val="28"/>
        </w:rPr>
        <w:tab/>
      </w:r>
      <w:r w:rsidRPr="002D7985">
        <w:rPr>
          <w:rFonts w:ascii="Garamond" w:hAnsi="Garamond"/>
          <w:sz w:val="28"/>
        </w:rPr>
        <w:tab/>
      </w:r>
      <w:r w:rsidRPr="002D7985">
        <w:rPr>
          <w:rFonts w:ascii="Garamond" w:hAnsi="Garamond"/>
          <w:sz w:val="28"/>
        </w:rPr>
        <w:tab/>
      </w:r>
      <w:r w:rsidRPr="002D7985">
        <w:rPr>
          <w:rFonts w:ascii="Garamond" w:hAnsi="Garamond"/>
          <w:sz w:val="28"/>
        </w:rPr>
        <w:tab/>
      </w:r>
      <w:r w:rsidRPr="002D7985">
        <w:rPr>
          <w:rFonts w:ascii="Garamond" w:hAnsi="Garamond"/>
          <w:sz w:val="28"/>
        </w:rPr>
        <w:tab/>
      </w:r>
      <w:r w:rsidRPr="002D7985">
        <w:rPr>
          <w:rFonts w:ascii="Garamond" w:hAnsi="Garamond"/>
          <w:sz w:val="28"/>
        </w:rPr>
        <w:tab/>
      </w:r>
      <w:r w:rsidRPr="002D7985">
        <w:rPr>
          <w:rFonts w:ascii="Garamond" w:hAnsi="Garamond"/>
          <w:sz w:val="28"/>
        </w:rPr>
        <w:tab/>
        <w:t>1501 The Alameda</w:t>
      </w:r>
    </w:p>
    <w:p w:rsidR="00607BFE" w:rsidRPr="002D7985" w:rsidRDefault="00607BFE" w:rsidP="00607BFE">
      <w:pPr>
        <w:tabs>
          <w:tab w:val="left" w:pos="4680"/>
          <w:tab w:val="left" w:pos="5760"/>
        </w:tabs>
        <w:ind w:left="4680" w:right="720"/>
        <w:rPr>
          <w:rFonts w:ascii="Garamond" w:hAnsi="Garamond"/>
          <w:sz w:val="28"/>
        </w:rPr>
      </w:pPr>
      <w:r w:rsidRPr="002D7985">
        <w:rPr>
          <w:rFonts w:ascii="Garamond" w:hAnsi="Garamond"/>
          <w:sz w:val="28"/>
        </w:rPr>
        <w:t>San Jose, CA 95126</w:t>
      </w:r>
      <w:r w:rsidRPr="002D7985">
        <w:rPr>
          <w:rFonts w:ascii="Garamond" w:hAnsi="Garamond"/>
          <w:sz w:val="28"/>
        </w:rPr>
        <w:tab/>
      </w:r>
      <w:r w:rsidRPr="002D7985">
        <w:rPr>
          <w:rFonts w:ascii="Garamond" w:hAnsi="Garamond"/>
          <w:sz w:val="28"/>
        </w:rPr>
        <w:tab/>
        <w:t xml:space="preserve"> </w:t>
      </w:r>
    </w:p>
    <w:p w:rsidR="00C6624F" w:rsidRPr="007C7512" w:rsidRDefault="00607BFE" w:rsidP="007C7512">
      <w:pPr>
        <w:tabs>
          <w:tab w:val="left" w:pos="4680"/>
          <w:tab w:val="left" w:pos="5760"/>
        </w:tabs>
        <w:ind w:left="4680" w:right="720"/>
        <w:rPr>
          <w:rFonts w:ascii="Cambria" w:eastAsia="Cambria" w:hAnsi="Cambria"/>
          <w:bCs w:val="0"/>
          <w:sz w:val="22"/>
          <w:szCs w:val="22"/>
        </w:rPr>
      </w:pPr>
      <w:r w:rsidRPr="002D7985">
        <w:rPr>
          <w:rFonts w:ascii="Garamond" w:hAnsi="Garamond"/>
          <w:sz w:val="28"/>
        </w:rPr>
        <w:t>(831) 229-0256</w:t>
      </w:r>
    </w:p>
    <w:sectPr w:rsidR="00C6624F" w:rsidRPr="007C7512" w:rsidSect="00745635">
      <w:footerReference w:type="even" r:id="rId1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18F" w:rsidRDefault="00614E7D">
      <w:r>
        <w:separator/>
      </w:r>
    </w:p>
  </w:endnote>
  <w:endnote w:type="continuationSeparator" w:id="0">
    <w:p w:rsidR="00F0018F" w:rsidRDefault="00614E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AC3" w:rsidRDefault="00F0018F" w:rsidP="0093690F">
    <w:pPr>
      <w:pStyle w:val="Footer"/>
      <w:framePr w:wrap="around" w:vAnchor="text" w:hAnchor="margin" w:xAlign="center" w:y="1"/>
      <w:rPr>
        <w:rStyle w:val="PageNumber"/>
      </w:rPr>
    </w:pPr>
    <w:r>
      <w:rPr>
        <w:rStyle w:val="PageNumber"/>
      </w:rPr>
      <w:fldChar w:fldCharType="begin"/>
    </w:r>
    <w:r w:rsidR="00607BFE">
      <w:rPr>
        <w:rStyle w:val="PageNumber"/>
      </w:rPr>
      <w:instrText xml:space="preserve">PAGE  </w:instrText>
    </w:r>
    <w:r>
      <w:rPr>
        <w:rStyle w:val="PageNumber"/>
      </w:rPr>
      <w:fldChar w:fldCharType="end"/>
    </w:r>
  </w:p>
  <w:p w:rsidR="001B0AC3" w:rsidRDefault="00680357" w:rsidP="0093690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AC3" w:rsidRDefault="00F0018F" w:rsidP="0093690F">
    <w:pPr>
      <w:pStyle w:val="Footer"/>
      <w:framePr w:wrap="around" w:vAnchor="text" w:hAnchor="margin" w:xAlign="center" w:y="1"/>
      <w:rPr>
        <w:rStyle w:val="PageNumber"/>
      </w:rPr>
    </w:pPr>
    <w:r>
      <w:rPr>
        <w:rStyle w:val="PageNumber"/>
      </w:rPr>
      <w:fldChar w:fldCharType="begin"/>
    </w:r>
    <w:r w:rsidR="00607BFE">
      <w:rPr>
        <w:rStyle w:val="PageNumber"/>
      </w:rPr>
      <w:instrText xml:space="preserve">PAGE  </w:instrText>
    </w:r>
    <w:r>
      <w:rPr>
        <w:rStyle w:val="PageNumber"/>
      </w:rPr>
      <w:fldChar w:fldCharType="separate"/>
    </w:r>
    <w:r w:rsidR="00607BFE">
      <w:rPr>
        <w:rStyle w:val="PageNumber"/>
        <w:noProof/>
      </w:rPr>
      <w:t>ii</w:t>
    </w:r>
    <w:r>
      <w:rPr>
        <w:rStyle w:val="PageNumber"/>
      </w:rPr>
      <w:fldChar w:fldCharType="end"/>
    </w:r>
  </w:p>
  <w:p w:rsidR="001B0AC3" w:rsidRDefault="00607BFE" w:rsidP="0093690F">
    <w:pPr>
      <w:pStyle w:val="Footer"/>
      <w:ind w:right="360"/>
    </w:pPr>
    <w:r>
      <w:rPr>
        <w:rStyle w:val="PageNumber"/>
      </w:rPr>
      <w:tab/>
    </w:r>
    <w:r>
      <w:rPr>
        <w:rStyle w:val="PageNumber"/>
      </w:rPr>
      <w:tab/>
    </w:r>
    <w:r>
      <w:rPr>
        <w:rStyle w:val="PageNumber"/>
      </w:rPr>
      <w:tab/>
    </w:r>
    <w:r>
      <w:rPr>
        <w:rStyle w:val="PageNumber"/>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AC3" w:rsidRDefault="00F0018F" w:rsidP="0093690F">
    <w:pPr>
      <w:pStyle w:val="Footer"/>
      <w:framePr w:wrap="around" w:vAnchor="text" w:hAnchor="margin" w:xAlign="center" w:y="1"/>
      <w:rPr>
        <w:rStyle w:val="PageNumber"/>
      </w:rPr>
    </w:pPr>
    <w:r>
      <w:rPr>
        <w:rStyle w:val="PageNumber"/>
      </w:rPr>
      <w:fldChar w:fldCharType="begin"/>
    </w:r>
    <w:r w:rsidR="00607BFE">
      <w:rPr>
        <w:rStyle w:val="PageNumber"/>
      </w:rPr>
      <w:instrText xml:space="preserve">PAGE  </w:instrText>
    </w:r>
    <w:r>
      <w:rPr>
        <w:rStyle w:val="PageNumber"/>
      </w:rPr>
      <w:fldChar w:fldCharType="end"/>
    </w:r>
  </w:p>
  <w:p w:rsidR="001B0AC3" w:rsidRDefault="0068035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AC3" w:rsidRDefault="00607BFE">
    <w:pPr>
      <w:pStyle w:val="Footer"/>
    </w:pPr>
    <w:r>
      <w:rPr>
        <w:rStyle w:val="PageNumber"/>
      </w:rPr>
      <w:tab/>
    </w:r>
    <w:r w:rsidR="00F0018F">
      <w:rPr>
        <w:rStyle w:val="PageNumber"/>
      </w:rPr>
      <w:fldChar w:fldCharType="begin"/>
    </w:r>
    <w:r>
      <w:rPr>
        <w:rStyle w:val="PageNumber"/>
      </w:rPr>
      <w:instrText xml:space="preserve"> PAGE </w:instrText>
    </w:r>
    <w:r w:rsidR="00F0018F">
      <w:rPr>
        <w:rStyle w:val="PageNumber"/>
      </w:rPr>
      <w:fldChar w:fldCharType="separate"/>
    </w:r>
    <w:r w:rsidR="00680357">
      <w:rPr>
        <w:rStyle w:val="PageNumber"/>
        <w:noProof/>
      </w:rPr>
      <w:t>i</w:t>
    </w:r>
    <w:r w:rsidR="00F0018F">
      <w:rPr>
        <w:rStyle w:val="PageNumber"/>
      </w:rPr>
      <w:fldChar w:fldCharType="end"/>
    </w:r>
    <w:r>
      <w:rPr>
        <w:rStyle w:val="PageNumber"/>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AC3" w:rsidRDefault="00F0018F" w:rsidP="0093690F">
    <w:pPr>
      <w:pStyle w:val="Footer"/>
      <w:framePr w:wrap="around" w:vAnchor="text" w:hAnchor="margin" w:xAlign="center" w:y="1"/>
      <w:rPr>
        <w:rStyle w:val="PageNumber"/>
      </w:rPr>
    </w:pPr>
    <w:r>
      <w:rPr>
        <w:rStyle w:val="PageNumber"/>
      </w:rPr>
      <w:fldChar w:fldCharType="begin"/>
    </w:r>
    <w:r w:rsidR="00607BFE">
      <w:rPr>
        <w:rStyle w:val="PageNumber"/>
      </w:rPr>
      <w:instrText xml:space="preserve">PAGE  </w:instrText>
    </w:r>
    <w:r>
      <w:rPr>
        <w:rStyle w:val="PageNumber"/>
      </w:rPr>
      <w:fldChar w:fldCharType="end"/>
    </w:r>
  </w:p>
  <w:p w:rsidR="001B0AC3" w:rsidRDefault="00680357">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AC3" w:rsidRDefault="00607BFE">
    <w:pPr>
      <w:pStyle w:val="Footer"/>
    </w:pPr>
    <w:r>
      <w:rPr>
        <w:rStyle w:val="PageNumber"/>
      </w:rPr>
      <w:tab/>
    </w:r>
    <w:r w:rsidR="00F0018F">
      <w:rPr>
        <w:rStyle w:val="PageNumber"/>
      </w:rPr>
      <w:fldChar w:fldCharType="begin"/>
    </w:r>
    <w:r>
      <w:rPr>
        <w:rStyle w:val="PageNumber"/>
      </w:rPr>
      <w:instrText xml:space="preserve"> PAGE </w:instrText>
    </w:r>
    <w:r w:rsidR="00F0018F">
      <w:rPr>
        <w:rStyle w:val="PageNumber"/>
      </w:rPr>
      <w:fldChar w:fldCharType="separate"/>
    </w:r>
    <w:r w:rsidR="00680357">
      <w:rPr>
        <w:rStyle w:val="PageNumber"/>
        <w:noProof/>
      </w:rPr>
      <w:t>5</w:t>
    </w:r>
    <w:r w:rsidR="00F0018F">
      <w:rPr>
        <w:rStyle w:val="PageNumber"/>
      </w:rPr>
      <w:fldChar w:fldCharType="end"/>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18F" w:rsidRDefault="00614E7D">
      <w:r>
        <w:separator/>
      </w:r>
    </w:p>
  </w:footnote>
  <w:footnote w:type="continuationSeparator" w:id="0">
    <w:p w:rsidR="00F0018F" w:rsidRDefault="00614E7D">
      <w:r>
        <w:continuationSeparator/>
      </w:r>
    </w:p>
  </w:footnote>
  <w:footnote w:id="1">
    <w:p w:rsidR="00607BFE" w:rsidRDefault="00607BFE" w:rsidP="00607BFE">
      <w:pPr>
        <w:pStyle w:val="FootnoteText"/>
      </w:pPr>
      <w:r>
        <w:rPr>
          <w:rStyle w:val="FootnoteReference"/>
        </w:rPr>
        <w:footnoteRef/>
      </w:r>
      <w:r>
        <w:t xml:space="preserve"> Section 1129(a</w:t>
      </w:r>
      <w:proofErr w:type="gramStart"/>
      <w:r>
        <w:t>)(</w:t>
      </w:r>
      <w:proofErr w:type="gramEnd"/>
      <w:r>
        <w:t>14) deals with domestic support obligations and is not relevant to the case at bar.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383"/>
    <w:multiLevelType w:val="hybridMultilevel"/>
    <w:tmpl w:val="125A7938"/>
    <w:lvl w:ilvl="0" w:tplc="52FAC0AC">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9064D59"/>
    <w:multiLevelType w:val="hybridMultilevel"/>
    <w:tmpl w:val="FB8CF364"/>
    <w:lvl w:ilvl="0" w:tplc="2DC093D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9AB1EA7"/>
    <w:multiLevelType w:val="hybridMultilevel"/>
    <w:tmpl w:val="A532DE46"/>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AB16B47"/>
    <w:multiLevelType w:val="hybridMultilevel"/>
    <w:tmpl w:val="D0C6BF68"/>
    <w:lvl w:ilvl="0" w:tplc="8AA2E59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3F5972"/>
    <w:multiLevelType w:val="hybridMultilevel"/>
    <w:tmpl w:val="6F9AFB98"/>
    <w:lvl w:ilvl="0" w:tplc="FF8A19E6">
      <w:start w:val="1"/>
      <w:numFmt w:val="upperRoman"/>
      <w:lvlText w:val="%1."/>
      <w:lvlJc w:val="left"/>
      <w:pPr>
        <w:tabs>
          <w:tab w:val="num" w:pos="1080"/>
        </w:tabs>
        <w:ind w:left="1080" w:hanging="72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A34F86"/>
    <w:multiLevelType w:val="hybridMultilevel"/>
    <w:tmpl w:val="DBD043FA"/>
    <w:lvl w:ilvl="0" w:tplc="FF8A19E6">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9200E5F"/>
    <w:multiLevelType w:val="hybridMultilevel"/>
    <w:tmpl w:val="06D46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2625F6"/>
    <w:multiLevelType w:val="hybridMultilevel"/>
    <w:tmpl w:val="9BE67292"/>
    <w:lvl w:ilvl="0" w:tplc="4A02BBE4">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785518CB"/>
    <w:multiLevelType w:val="hybridMultilevel"/>
    <w:tmpl w:val="BCAED976"/>
    <w:lvl w:ilvl="0" w:tplc="130C198C">
      <w:start w:val="1"/>
      <w:numFmt w:val="lowerLetter"/>
      <w:lvlText w:val="(%1)"/>
      <w:lvlJc w:val="left"/>
      <w:pPr>
        <w:tabs>
          <w:tab w:val="num" w:pos="1755"/>
        </w:tabs>
        <w:ind w:left="1755" w:hanging="1035"/>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7D7F4965"/>
    <w:multiLevelType w:val="hybridMultilevel"/>
    <w:tmpl w:val="41B884A0"/>
    <w:lvl w:ilvl="0" w:tplc="D7406522">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2"/>
  </w:num>
  <w:num w:numId="3">
    <w:abstractNumId w:val="7"/>
  </w:num>
  <w:num w:numId="4">
    <w:abstractNumId w:val="1"/>
  </w:num>
  <w:num w:numId="5">
    <w:abstractNumId w:val="0"/>
  </w:num>
  <w:num w:numId="6">
    <w:abstractNumId w:val="9"/>
  </w:num>
  <w:num w:numId="7">
    <w:abstractNumId w:val="5"/>
  </w:num>
  <w:num w:numId="8">
    <w:abstractNumId w:val="6"/>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607BFE"/>
    <w:rsid w:val="00061A1E"/>
    <w:rsid w:val="000755C7"/>
    <w:rsid w:val="00130CF7"/>
    <w:rsid w:val="00292ADA"/>
    <w:rsid w:val="00607BFE"/>
    <w:rsid w:val="00614E7D"/>
    <w:rsid w:val="00616D09"/>
    <w:rsid w:val="00680357"/>
    <w:rsid w:val="007C7512"/>
    <w:rsid w:val="00906737"/>
    <w:rsid w:val="00D917FC"/>
    <w:rsid w:val="00F0018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BFE"/>
    <w:rPr>
      <w:rFonts w:ascii="Times New Roman" w:eastAsia="Times New Roman" w:hAnsi="Times New Roman" w:cs="Times New Roman"/>
      <w:bCs/>
      <w:sz w:val="24"/>
      <w:szCs w:val="24"/>
    </w:rPr>
  </w:style>
  <w:style w:type="paragraph" w:styleId="Heading1">
    <w:name w:val="heading 1"/>
    <w:basedOn w:val="Normal"/>
    <w:next w:val="Normal"/>
    <w:link w:val="Heading1Char"/>
    <w:uiPriority w:val="99"/>
    <w:qFormat/>
    <w:rsid w:val="00607BFE"/>
    <w:pPr>
      <w:keepNext/>
      <w:spacing w:before="240" w:after="60"/>
      <w:outlineLvl w:val="0"/>
    </w:pPr>
    <w:rPr>
      <w:rFonts w:ascii="Arial" w:hAnsi="Arial" w:cs="Arial"/>
      <w:b/>
      <w:kern w:val="32"/>
      <w:sz w:val="32"/>
      <w:szCs w:val="32"/>
    </w:rPr>
  </w:style>
  <w:style w:type="paragraph" w:styleId="Heading2">
    <w:name w:val="heading 2"/>
    <w:basedOn w:val="Normal"/>
    <w:link w:val="Heading2Char"/>
    <w:qFormat/>
    <w:rsid w:val="00607BFE"/>
    <w:pPr>
      <w:spacing w:before="100" w:beforeAutospacing="1" w:after="100" w:afterAutospacing="1"/>
      <w:outlineLvl w:val="1"/>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607BFE"/>
    <w:rPr>
      <w:rFonts w:ascii="Tahoma" w:hAnsi="Tahoma" w:cs="Tahoma"/>
      <w:sz w:val="16"/>
      <w:szCs w:val="16"/>
    </w:rPr>
  </w:style>
  <w:style w:type="character" w:customStyle="1" w:styleId="BalloonTextChar">
    <w:name w:val="Balloon Text Char"/>
    <w:basedOn w:val="DefaultParagraphFont"/>
    <w:uiPriority w:val="99"/>
    <w:semiHidden/>
    <w:rsid w:val="00C222C3"/>
    <w:rPr>
      <w:rFonts w:ascii="Lucida Grande" w:hAnsi="Lucida Grande"/>
      <w:sz w:val="18"/>
      <w:szCs w:val="18"/>
    </w:rPr>
  </w:style>
  <w:style w:type="character" w:customStyle="1" w:styleId="BalloonTextChar0">
    <w:name w:val="Balloon Text Char"/>
    <w:basedOn w:val="DefaultParagraphFont"/>
    <w:uiPriority w:val="99"/>
    <w:semiHidden/>
    <w:rsid w:val="00EE6622"/>
    <w:rPr>
      <w:rFonts w:ascii="Lucida Grande" w:hAnsi="Lucida Grande"/>
      <w:sz w:val="18"/>
      <w:szCs w:val="18"/>
    </w:rPr>
  </w:style>
  <w:style w:type="character" w:customStyle="1" w:styleId="BalloonTextChar2">
    <w:name w:val="Balloon Text Char"/>
    <w:basedOn w:val="DefaultParagraphFont"/>
    <w:uiPriority w:val="99"/>
    <w:semiHidden/>
    <w:rsid w:val="00EE6622"/>
    <w:rPr>
      <w:rFonts w:ascii="Lucida Grande" w:hAnsi="Lucida Grande"/>
      <w:sz w:val="18"/>
      <w:szCs w:val="18"/>
    </w:rPr>
  </w:style>
  <w:style w:type="character" w:customStyle="1" w:styleId="Heading1Char">
    <w:name w:val="Heading 1 Char"/>
    <w:basedOn w:val="DefaultParagraphFont"/>
    <w:link w:val="Heading1"/>
    <w:uiPriority w:val="99"/>
    <w:rsid w:val="00607BFE"/>
    <w:rPr>
      <w:rFonts w:ascii="Arial" w:eastAsia="Times New Roman" w:hAnsi="Arial" w:cs="Arial"/>
      <w:b/>
      <w:bCs/>
      <w:kern w:val="32"/>
      <w:sz w:val="32"/>
      <w:szCs w:val="32"/>
    </w:rPr>
  </w:style>
  <w:style w:type="character" w:customStyle="1" w:styleId="Heading2Char">
    <w:name w:val="Heading 2 Char"/>
    <w:basedOn w:val="DefaultParagraphFont"/>
    <w:link w:val="Heading2"/>
    <w:rsid w:val="00607BFE"/>
    <w:rPr>
      <w:rFonts w:ascii="Times New Roman" w:eastAsia="Times New Roman" w:hAnsi="Times New Roman" w:cs="Times New Roman"/>
      <w:b/>
      <w:bCs/>
      <w:sz w:val="36"/>
      <w:szCs w:val="36"/>
    </w:rPr>
  </w:style>
  <w:style w:type="character" w:customStyle="1" w:styleId="BalloonTextChar3">
    <w:name w:val="Balloon Text Char"/>
    <w:basedOn w:val="DefaultParagraphFont"/>
    <w:uiPriority w:val="99"/>
    <w:semiHidden/>
    <w:rsid w:val="00607BFE"/>
    <w:rPr>
      <w:rFonts w:ascii="Lucida Grande" w:eastAsia="Times New Roman" w:hAnsi="Lucida Grande" w:cs="Times New Roman"/>
      <w:bCs/>
      <w:sz w:val="18"/>
      <w:szCs w:val="18"/>
    </w:rPr>
  </w:style>
  <w:style w:type="character" w:customStyle="1" w:styleId="BalloonTextChar1">
    <w:name w:val="Balloon Text Char1"/>
    <w:basedOn w:val="DefaultParagraphFont"/>
    <w:link w:val="BalloonText"/>
    <w:uiPriority w:val="99"/>
    <w:semiHidden/>
    <w:locked/>
    <w:rsid w:val="00607BFE"/>
    <w:rPr>
      <w:rFonts w:ascii="Tahoma" w:eastAsia="Times New Roman" w:hAnsi="Tahoma" w:cs="Tahoma"/>
      <w:bCs/>
      <w:sz w:val="16"/>
      <w:szCs w:val="16"/>
    </w:rPr>
  </w:style>
  <w:style w:type="character" w:customStyle="1" w:styleId="BalloonTextChar20">
    <w:name w:val="Balloon Text Char2"/>
    <w:basedOn w:val="DefaultParagraphFont"/>
    <w:uiPriority w:val="99"/>
    <w:semiHidden/>
    <w:locked/>
    <w:rsid w:val="00607BFE"/>
    <w:rPr>
      <w:rFonts w:ascii="Lucida Grande" w:hAnsi="Lucida Grande" w:cs="Times New Roman"/>
      <w:sz w:val="18"/>
      <w:szCs w:val="18"/>
    </w:rPr>
  </w:style>
  <w:style w:type="paragraph" w:styleId="FootnoteText">
    <w:name w:val="footnote text"/>
    <w:basedOn w:val="Normal"/>
    <w:link w:val="FootnoteTextChar"/>
    <w:uiPriority w:val="99"/>
    <w:semiHidden/>
    <w:rsid w:val="00607BFE"/>
    <w:rPr>
      <w:sz w:val="20"/>
      <w:szCs w:val="20"/>
    </w:rPr>
  </w:style>
  <w:style w:type="character" w:customStyle="1" w:styleId="FootnoteTextChar">
    <w:name w:val="Footnote Text Char"/>
    <w:basedOn w:val="DefaultParagraphFont"/>
    <w:link w:val="FootnoteText"/>
    <w:uiPriority w:val="99"/>
    <w:semiHidden/>
    <w:rsid w:val="00607BFE"/>
    <w:rPr>
      <w:rFonts w:ascii="Times New Roman" w:eastAsia="Times New Roman" w:hAnsi="Times New Roman" w:cs="Times New Roman"/>
      <w:bCs/>
    </w:rPr>
  </w:style>
  <w:style w:type="character" w:styleId="FootnoteReference">
    <w:name w:val="footnote reference"/>
    <w:basedOn w:val="DefaultParagraphFont"/>
    <w:uiPriority w:val="99"/>
    <w:semiHidden/>
    <w:rsid w:val="00607BFE"/>
    <w:rPr>
      <w:rFonts w:cs="Times New Roman"/>
      <w:vertAlign w:val="superscript"/>
    </w:rPr>
  </w:style>
  <w:style w:type="paragraph" w:styleId="Footer">
    <w:name w:val="footer"/>
    <w:basedOn w:val="Normal"/>
    <w:link w:val="FooterChar"/>
    <w:rsid w:val="00607BFE"/>
    <w:pPr>
      <w:tabs>
        <w:tab w:val="center" w:pos="4320"/>
        <w:tab w:val="right" w:pos="8640"/>
      </w:tabs>
    </w:pPr>
  </w:style>
  <w:style w:type="character" w:customStyle="1" w:styleId="FooterChar">
    <w:name w:val="Footer Char"/>
    <w:basedOn w:val="DefaultParagraphFont"/>
    <w:link w:val="Footer"/>
    <w:rsid w:val="00607BFE"/>
    <w:rPr>
      <w:rFonts w:ascii="Times New Roman" w:eastAsia="Times New Roman" w:hAnsi="Times New Roman" w:cs="Times New Roman"/>
      <w:bCs/>
      <w:sz w:val="24"/>
      <w:szCs w:val="24"/>
    </w:rPr>
  </w:style>
  <w:style w:type="character" w:styleId="PageNumber">
    <w:name w:val="page number"/>
    <w:basedOn w:val="DefaultParagraphFont"/>
    <w:rsid w:val="00607BFE"/>
    <w:rPr>
      <w:rFonts w:cs="Times New Roman"/>
    </w:rPr>
  </w:style>
  <w:style w:type="paragraph" w:styleId="BodyText">
    <w:name w:val="Body Text"/>
    <w:basedOn w:val="Normal"/>
    <w:link w:val="BodyTextChar"/>
    <w:uiPriority w:val="99"/>
    <w:rsid w:val="00607BFE"/>
    <w:pPr>
      <w:spacing w:after="120"/>
    </w:pPr>
    <w:rPr>
      <w:bCs w:val="0"/>
    </w:rPr>
  </w:style>
  <w:style w:type="character" w:customStyle="1" w:styleId="BodyTextChar">
    <w:name w:val="Body Text Char"/>
    <w:basedOn w:val="DefaultParagraphFont"/>
    <w:link w:val="BodyText"/>
    <w:uiPriority w:val="99"/>
    <w:rsid w:val="00607BFE"/>
    <w:rPr>
      <w:rFonts w:ascii="Times New Roman" w:eastAsia="Times New Roman" w:hAnsi="Times New Roman" w:cs="Times New Roman"/>
      <w:sz w:val="24"/>
      <w:szCs w:val="24"/>
    </w:rPr>
  </w:style>
  <w:style w:type="paragraph" w:styleId="TOAHeading">
    <w:name w:val="toa heading"/>
    <w:basedOn w:val="Normal"/>
    <w:next w:val="Normal"/>
    <w:uiPriority w:val="99"/>
    <w:semiHidden/>
    <w:rsid w:val="00607BFE"/>
    <w:pPr>
      <w:spacing w:before="120"/>
    </w:pPr>
    <w:rPr>
      <w:rFonts w:ascii="Arial" w:hAnsi="Arial" w:cs="Arial"/>
      <w:b/>
    </w:rPr>
  </w:style>
  <w:style w:type="paragraph" w:styleId="TableofAuthorities">
    <w:name w:val="table of authorities"/>
    <w:basedOn w:val="Normal"/>
    <w:next w:val="Normal"/>
    <w:uiPriority w:val="99"/>
    <w:semiHidden/>
    <w:rsid w:val="00607BFE"/>
    <w:pPr>
      <w:ind w:left="240" w:hanging="240"/>
    </w:pPr>
  </w:style>
  <w:style w:type="paragraph" w:styleId="Header">
    <w:name w:val="header"/>
    <w:basedOn w:val="Normal"/>
    <w:link w:val="HeaderChar"/>
    <w:uiPriority w:val="99"/>
    <w:semiHidden/>
    <w:rsid w:val="00607BFE"/>
    <w:pPr>
      <w:tabs>
        <w:tab w:val="center" w:pos="4320"/>
        <w:tab w:val="right" w:pos="8640"/>
      </w:tabs>
    </w:pPr>
  </w:style>
  <w:style w:type="character" w:customStyle="1" w:styleId="HeaderChar">
    <w:name w:val="Header Char"/>
    <w:basedOn w:val="DefaultParagraphFont"/>
    <w:link w:val="Header"/>
    <w:uiPriority w:val="99"/>
    <w:semiHidden/>
    <w:rsid w:val="00607BFE"/>
    <w:rPr>
      <w:rFonts w:ascii="Times New Roman" w:eastAsia="Times New Roman" w:hAnsi="Times New Roman" w:cs="Times New Roman"/>
      <w:bCs/>
      <w:sz w:val="24"/>
      <w:szCs w:val="24"/>
    </w:rPr>
  </w:style>
  <w:style w:type="character" w:styleId="Hyperlink">
    <w:name w:val="Hyperlink"/>
    <w:basedOn w:val="DefaultParagraphFont"/>
    <w:rsid w:val="00607BFE"/>
    <w:rPr>
      <w:rFonts w:cs="Times New Roman"/>
      <w:color w:val="0000FF"/>
      <w:u w:val="single"/>
    </w:rPr>
  </w:style>
  <w:style w:type="paragraph" w:styleId="TOC1">
    <w:name w:val="toc 1"/>
    <w:basedOn w:val="Normal"/>
    <w:next w:val="Normal"/>
    <w:autoRedefine/>
    <w:uiPriority w:val="99"/>
    <w:rsid w:val="00607BFE"/>
    <w:pPr>
      <w:tabs>
        <w:tab w:val="right" w:leader="dot" w:pos="8820"/>
        <w:tab w:val="right" w:leader="dot" w:pos="9000"/>
      </w:tabs>
      <w:spacing w:before="240" w:line="480" w:lineRule="auto"/>
    </w:pPr>
    <w:rPr>
      <w:bCs w:val="0"/>
      <w:caps/>
      <w:sz w:val="28"/>
      <w:szCs w:val="20"/>
    </w:rPr>
  </w:style>
  <w:style w:type="paragraph" w:styleId="TOC2">
    <w:name w:val="toc 2"/>
    <w:basedOn w:val="Normal"/>
    <w:next w:val="Normal"/>
    <w:autoRedefine/>
    <w:uiPriority w:val="99"/>
    <w:rsid w:val="00607BFE"/>
    <w:pPr>
      <w:tabs>
        <w:tab w:val="right" w:leader="dot" w:pos="8820"/>
        <w:tab w:val="right" w:leader="dot" w:pos="9000"/>
      </w:tabs>
      <w:spacing w:after="120"/>
      <w:ind w:left="720" w:right="720" w:hanging="720"/>
    </w:pPr>
    <w:rPr>
      <w:bCs w:val="0"/>
      <w:sz w:val="28"/>
      <w:szCs w:val="20"/>
    </w:rPr>
  </w:style>
  <w:style w:type="paragraph" w:styleId="ListParagraph">
    <w:name w:val="List Paragraph"/>
    <w:basedOn w:val="Normal"/>
    <w:uiPriority w:val="99"/>
    <w:qFormat/>
    <w:rsid w:val="00607BFE"/>
    <w:pPr>
      <w:ind w:left="720"/>
      <w:contextualSpacing/>
    </w:pPr>
  </w:style>
  <w:style w:type="character" w:styleId="CommentReference">
    <w:name w:val="annotation reference"/>
    <w:basedOn w:val="DefaultParagraphFont"/>
    <w:semiHidden/>
    <w:rsid w:val="00607BFE"/>
    <w:rPr>
      <w:rFonts w:cs="Times New Roman"/>
      <w:sz w:val="16"/>
      <w:szCs w:val="16"/>
    </w:rPr>
  </w:style>
  <w:style w:type="paragraph" w:styleId="CommentText">
    <w:name w:val="annotation text"/>
    <w:basedOn w:val="Normal"/>
    <w:link w:val="CommentTextChar"/>
    <w:semiHidden/>
    <w:rsid w:val="00607BFE"/>
    <w:rPr>
      <w:sz w:val="20"/>
      <w:szCs w:val="20"/>
    </w:rPr>
  </w:style>
  <w:style w:type="character" w:customStyle="1" w:styleId="CommentTextChar">
    <w:name w:val="Comment Text Char"/>
    <w:basedOn w:val="DefaultParagraphFont"/>
    <w:link w:val="CommentText"/>
    <w:semiHidden/>
    <w:rsid w:val="00607BFE"/>
    <w:rPr>
      <w:rFonts w:ascii="Times New Roman" w:eastAsia="Times New Roman" w:hAnsi="Times New Roman" w:cs="Times New Roman"/>
      <w:bCs/>
    </w:rPr>
  </w:style>
  <w:style w:type="paragraph" w:styleId="CommentSubject">
    <w:name w:val="annotation subject"/>
    <w:basedOn w:val="CommentText"/>
    <w:next w:val="CommentText"/>
    <w:link w:val="CommentSubjectChar"/>
    <w:semiHidden/>
    <w:rsid w:val="00607BFE"/>
    <w:rPr>
      <w:b/>
    </w:rPr>
  </w:style>
  <w:style w:type="character" w:customStyle="1" w:styleId="CommentSubjectChar">
    <w:name w:val="Comment Subject Char"/>
    <w:basedOn w:val="CommentTextChar"/>
    <w:link w:val="CommentSubject"/>
    <w:semiHidden/>
    <w:rsid w:val="00607BFE"/>
    <w:rPr>
      <w:rFonts w:ascii="Times New Roman" w:eastAsia="Times New Roman" w:hAnsi="Times New Roman" w:cs="Times New Roman"/>
      <w:b/>
      <w:bCs/>
    </w:rPr>
  </w:style>
  <w:style w:type="character" w:customStyle="1" w:styleId="HTMLPreformattedChar">
    <w:name w:val="HTML Preformatted Char"/>
    <w:basedOn w:val="DefaultParagraphFont"/>
    <w:link w:val="HTMLPreformatted"/>
    <w:rsid w:val="00607BFE"/>
    <w:rPr>
      <w:rFonts w:ascii="Courier New" w:eastAsia="Times New Roman" w:hAnsi="Courier New" w:cs="Courier New"/>
    </w:rPr>
  </w:style>
  <w:style w:type="paragraph" w:styleId="HTMLPreformatted">
    <w:name w:val="HTML Preformatted"/>
    <w:basedOn w:val="Normal"/>
    <w:link w:val="HTMLPreformattedChar"/>
    <w:rsid w:val="00607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rPr>
  </w:style>
  <w:style w:type="character" w:customStyle="1" w:styleId="HTMLPreformattedChar1">
    <w:name w:val="HTML Preformatted Char1"/>
    <w:basedOn w:val="DefaultParagraphFont"/>
    <w:uiPriority w:val="99"/>
    <w:semiHidden/>
    <w:rsid w:val="00607BFE"/>
    <w:rPr>
      <w:rFonts w:ascii="Courier New" w:eastAsia="Times New Roman" w:hAnsi="Courier New" w:cs="Times New Roman"/>
      <w:bCs/>
    </w:rPr>
  </w:style>
  <w:style w:type="character" w:customStyle="1" w:styleId="searchterm">
    <w:name w:val="searchterm"/>
    <w:basedOn w:val="DefaultParagraphFont"/>
    <w:rsid w:val="00607B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ra.twomey@comcast.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4521</Words>
  <Characters>25775</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NPS/NSA</Company>
  <LinksUpToDate>false</LinksUpToDate>
  <CharactersWithSpaces>30236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Twomey</dc:creator>
  <cp:lastModifiedBy>Jon</cp:lastModifiedBy>
  <cp:revision>2</cp:revision>
  <cp:lastPrinted>2011-06-21T23:02:00Z</cp:lastPrinted>
  <dcterms:created xsi:type="dcterms:W3CDTF">2012-01-11T01:23:00Z</dcterms:created>
  <dcterms:modified xsi:type="dcterms:W3CDTF">2012-01-11T01:23:00Z</dcterms:modified>
</cp:coreProperties>
</file>